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3" w:rsidRDefault="00191244" w:rsidP="007A4063">
      <w:pPr>
        <w:pStyle w:val="Heading1"/>
      </w:pPr>
      <w:r>
        <w:t>Our Voice Our Vision – JO</w:t>
      </w:r>
      <w:r w:rsidRPr="00AA611C">
        <w:t>Y</w:t>
      </w:r>
      <w:r w:rsidR="00343BD9">
        <w:t>’s</w:t>
      </w:r>
      <w:r>
        <w:t xml:space="preserve"> </w:t>
      </w:r>
      <w:r w:rsidR="00343BD9">
        <w:t>Strategic Plan</w:t>
      </w:r>
      <w:r w:rsidR="007A4063">
        <w:t xml:space="preserve"> 2014 - 2017</w:t>
      </w:r>
      <w:r w:rsidR="0023411A">
        <w:t xml:space="preserve"> </w:t>
      </w:r>
    </w:p>
    <w:p w:rsidR="00F24BE8" w:rsidRDefault="00325317" w:rsidP="00711E6F">
      <w:pPr>
        <w:pStyle w:val="Heading2"/>
      </w:pPr>
      <w:r>
        <w:t>Need</w:t>
      </w:r>
      <w:bookmarkStart w:id="0" w:name="_GoBack"/>
      <w:bookmarkEnd w:id="0"/>
    </w:p>
    <w:p w:rsidR="007A4063" w:rsidRPr="00642F23" w:rsidRDefault="007A4063" w:rsidP="00D91B19">
      <w:r w:rsidRPr="00642F23">
        <w:t xml:space="preserve">The gay, lesbian, bisexual, </w:t>
      </w:r>
      <w:r w:rsidR="00065E61" w:rsidRPr="00642F23">
        <w:t xml:space="preserve">transgender, intersex and queer </w:t>
      </w:r>
      <w:r w:rsidRPr="00642F23">
        <w:t>(GLBT</w:t>
      </w:r>
      <w:r w:rsidR="00065E61" w:rsidRPr="00642F23">
        <w:t>IQ</w:t>
      </w:r>
      <w:r w:rsidRPr="00642F23">
        <w:t xml:space="preserve">) communities in Melbourne and Australia have been forged through activism over the last half-century. JOY has played a strong role </w:t>
      </w:r>
      <w:r w:rsidR="00325317" w:rsidRPr="00642F23">
        <w:t xml:space="preserve">as a community radio station </w:t>
      </w:r>
      <w:r w:rsidR="004F0967" w:rsidRPr="00642F23">
        <w:t xml:space="preserve">over more than two decades </w:t>
      </w:r>
      <w:r w:rsidR="00F05C0C" w:rsidRPr="00642F23">
        <w:t xml:space="preserve">– </w:t>
      </w:r>
      <w:r w:rsidR="00655AD5" w:rsidRPr="00642F23">
        <w:t>providing a voice and breaking down isolation</w:t>
      </w:r>
      <w:r w:rsidRPr="00642F23">
        <w:t xml:space="preserve">. </w:t>
      </w:r>
      <w:r w:rsidR="00F05C0C" w:rsidRPr="00642F23">
        <w:t>GLBT</w:t>
      </w:r>
      <w:r w:rsidR="00065E61" w:rsidRPr="00642F23">
        <w:t>IQ</w:t>
      </w:r>
      <w:r w:rsidR="00F05C0C" w:rsidRPr="00642F23">
        <w:t xml:space="preserve"> people </w:t>
      </w:r>
      <w:r w:rsidR="004F0967" w:rsidRPr="00642F23">
        <w:t xml:space="preserve">now </w:t>
      </w:r>
      <w:r w:rsidR="00F05C0C" w:rsidRPr="00642F23">
        <w:t xml:space="preserve">enjoy more freedom </w:t>
      </w:r>
      <w:r w:rsidR="00E63F22" w:rsidRPr="00642F23">
        <w:t xml:space="preserve">to be themselves </w:t>
      </w:r>
      <w:r w:rsidR="00F05C0C" w:rsidRPr="00642F23">
        <w:t xml:space="preserve">than </w:t>
      </w:r>
      <w:r w:rsidR="004F0967" w:rsidRPr="00642F23">
        <w:t xml:space="preserve">in </w:t>
      </w:r>
      <w:r w:rsidR="00F05C0C" w:rsidRPr="00642F23">
        <w:t xml:space="preserve">most of modern human history. </w:t>
      </w:r>
      <w:r w:rsidRPr="00642F23">
        <w:t xml:space="preserve">There is much to be celebrated in our </w:t>
      </w:r>
      <w:r w:rsidR="00E63F22" w:rsidRPr="00642F23">
        <w:t xml:space="preserve">diverse </w:t>
      </w:r>
      <w:r w:rsidRPr="00642F23">
        <w:t xml:space="preserve">communities’ </w:t>
      </w:r>
      <w:r w:rsidR="00655AD5" w:rsidRPr="00642F23">
        <w:t xml:space="preserve">cultures, </w:t>
      </w:r>
      <w:r w:rsidRPr="00642F23">
        <w:t xml:space="preserve">achievements, and </w:t>
      </w:r>
      <w:r w:rsidR="00655AD5" w:rsidRPr="00642F23">
        <w:t>pride</w:t>
      </w:r>
      <w:r w:rsidRPr="00642F23">
        <w:t xml:space="preserve">. </w:t>
      </w:r>
    </w:p>
    <w:p w:rsidR="00325317" w:rsidRPr="00642F23" w:rsidRDefault="00AA611C" w:rsidP="00D91B19">
      <w:r w:rsidRPr="00642F23">
        <w:t xml:space="preserve">At the same time, </w:t>
      </w:r>
      <w:r w:rsidR="007A4063" w:rsidRPr="00642F23">
        <w:t>GLBT</w:t>
      </w:r>
      <w:r w:rsidR="00065E61" w:rsidRPr="00642F23">
        <w:t>IQ</w:t>
      </w:r>
      <w:r w:rsidR="007A4063" w:rsidRPr="00642F23">
        <w:t xml:space="preserve"> </w:t>
      </w:r>
      <w:r w:rsidR="00655AD5" w:rsidRPr="00642F23">
        <w:t xml:space="preserve">people continue to face </w:t>
      </w:r>
      <w:r w:rsidR="00325317" w:rsidRPr="00642F23">
        <w:t xml:space="preserve">discrimination, </w:t>
      </w:r>
      <w:r w:rsidR="00655AD5" w:rsidRPr="00642F23">
        <w:t>isolation</w:t>
      </w:r>
      <w:r w:rsidR="00325317" w:rsidRPr="00642F23">
        <w:t xml:space="preserve"> and </w:t>
      </w:r>
      <w:r w:rsidR="00E63F22" w:rsidRPr="00642F23">
        <w:t>abuse</w:t>
      </w:r>
      <w:r w:rsidR="00177398" w:rsidRPr="00642F23">
        <w:t xml:space="preserve"> </w:t>
      </w:r>
      <w:r w:rsidR="00F05C0C" w:rsidRPr="00642F23">
        <w:t xml:space="preserve">fuelled by fear and </w:t>
      </w:r>
      <w:r w:rsidR="00655AD5" w:rsidRPr="00642F23">
        <w:t xml:space="preserve">ignorance. </w:t>
      </w:r>
      <w:r w:rsidR="00F05C0C" w:rsidRPr="00642F23">
        <w:t xml:space="preserve">This leads to </w:t>
      </w:r>
      <w:r w:rsidRPr="00642F23">
        <w:t>GLBT</w:t>
      </w:r>
      <w:r w:rsidR="00065E61" w:rsidRPr="00642F23">
        <w:t>IQ</w:t>
      </w:r>
      <w:r w:rsidRPr="00642F23">
        <w:t xml:space="preserve"> people facing </w:t>
      </w:r>
      <w:r w:rsidR="00655AD5" w:rsidRPr="00642F23">
        <w:t xml:space="preserve">elevated risks of </w:t>
      </w:r>
      <w:r w:rsidR="004F0967" w:rsidRPr="00642F23">
        <w:t xml:space="preserve">trauma, </w:t>
      </w:r>
      <w:r w:rsidR="00655AD5" w:rsidRPr="00642F23">
        <w:t>anxiety, depression and suicide. These ri</w:t>
      </w:r>
      <w:r w:rsidR="00325317" w:rsidRPr="00642F23">
        <w:t>sks are particularly strong for:</w:t>
      </w:r>
    </w:p>
    <w:p w:rsidR="00325317" w:rsidRPr="00642F23" w:rsidRDefault="00F80AA3" w:rsidP="00325317">
      <w:pPr>
        <w:pStyle w:val="ListParagraph"/>
        <w:numPr>
          <w:ilvl w:val="0"/>
          <w:numId w:val="7"/>
        </w:numPr>
      </w:pPr>
      <w:r>
        <w:t>P</w:t>
      </w:r>
      <w:r w:rsidR="00655AD5" w:rsidRPr="00642F23">
        <w:t>eople who are questio</w:t>
      </w:r>
      <w:r w:rsidR="00325317" w:rsidRPr="00642F23">
        <w:t>ning their sexuality or gender</w:t>
      </w:r>
    </w:p>
    <w:p w:rsidR="00325317" w:rsidRPr="00642F23" w:rsidRDefault="00F80AA3" w:rsidP="00325317">
      <w:pPr>
        <w:pStyle w:val="ListParagraph"/>
        <w:numPr>
          <w:ilvl w:val="0"/>
          <w:numId w:val="7"/>
        </w:numPr>
      </w:pPr>
      <w:r>
        <w:t>Y</w:t>
      </w:r>
      <w:r w:rsidR="00325317" w:rsidRPr="00642F23">
        <w:t>oung people</w:t>
      </w:r>
    </w:p>
    <w:p w:rsidR="00AC028A" w:rsidRPr="00642F23" w:rsidRDefault="00AC028A" w:rsidP="00AC028A">
      <w:pPr>
        <w:pStyle w:val="ListParagraph"/>
        <w:numPr>
          <w:ilvl w:val="0"/>
          <w:numId w:val="7"/>
        </w:numPr>
      </w:pPr>
      <w:r>
        <w:t>People from minority groups in our community, such as transgender or bisexual people</w:t>
      </w:r>
    </w:p>
    <w:p w:rsidR="006C2A1A" w:rsidRPr="00642F23" w:rsidRDefault="006C2A1A" w:rsidP="00325317">
      <w:pPr>
        <w:pStyle w:val="ListParagraph"/>
        <w:numPr>
          <w:ilvl w:val="0"/>
          <w:numId w:val="7"/>
        </w:numPr>
      </w:pPr>
      <w:r w:rsidRPr="00642F23">
        <w:t xml:space="preserve">Aboriginal </w:t>
      </w:r>
      <w:r w:rsidR="00642F23">
        <w:t xml:space="preserve">and Torres Strait Islander </w:t>
      </w:r>
      <w:r w:rsidR="00655AD5" w:rsidRPr="00642F23">
        <w:t>people</w:t>
      </w:r>
    </w:p>
    <w:p w:rsidR="00325317" w:rsidRPr="00642F23" w:rsidRDefault="00F80AA3" w:rsidP="00325317">
      <w:pPr>
        <w:pStyle w:val="ListParagraph"/>
        <w:numPr>
          <w:ilvl w:val="0"/>
          <w:numId w:val="7"/>
        </w:numPr>
      </w:pPr>
      <w:r>
        <w:t>P</w:t>
      </w:r>
      <w:r w:rsidR="006C2A1A" w:rsidRPr="00642F23">
        <w:t xml:space="preserve">eople from </w:t>
      </w:r>
      <w:r w:rsidR="00655AD5" w:rsidRPr="00642F23">
        <w:t xml:space="preserve">culturally or linguistically diverse </w:t>
      </w:r>
      <w:r w:rsidR="00325317" w:rsidRPr="00642F23">
        <w:t>backgrounds</w:t>
      </w:r>
    </w:p>
    <w:p w:rsidR="00325317" w:rsidRPr="00642F23" w:rsidRDefault="00F80AA3" w:rsidP="00325317">
      <w:pPr>
        <w:pStyle w:val="ListParagraph"/>
        <w:numPr>
          <w:ilvl w:val="0"/>
          <w:numId w:val="7"/>
        </w:numPr>
      </w:pPr>
      <w:r>
        <w:t>P</w:t>
      </w:r>
      <w:r w:rsidR="00655AD5" w:rsidRPr="00642F23">
        <w:t>eople from religious backgrounds</w:t>
      </w:r>
    </w:p>
    <w:p w:rsidR="00325317" w:rsidRPr="00642F23" w:rsidRDefault="00F80AA3" w:rsidP="00325317">
      <w:pPr>
        <w:pStyle w:val="ListParagraph"/>
        <w:numPr>
          <w:ilvl w:val="0"/>
          <w:numId w:val="7"/>
        </w:numPr>
      </w:pPr>
      <w:r>
        <w:t>P</w:t>
      </w:r>
      <w:r w:rsidR="00655AD5" w:rsidRPr="00642F23">
        <w:t xml:space="preserve">eople </w:t>
      </w:r>
      <w:r w:rsidR="00325317" w:rsidRPr="00642F23">
        <w:t xml:space="preserve">in rural </w:t>
      </w:r>
      <w:r w:rsidR="00642F23">
        <w:t xml:space="preserve">and remote </w:t>
      </w:r>
      <w:r w:rsidR="00325317" w:rsidRPr="00642F23">
        <w:t>areas</w:t>
      </w:r>
    </w:p>
    <w:p w:rsidR="00325317" w:rsidRPr="00642F23" w:rsidRDefault="00F80AA3" w:rsidP="00325317">
      <w:pPr>
        <w:pStyle w:val="ListParagraph"/>
        <w:numPr>
          <w:ilvl w:val="0"/>
          <w:numId w:val="7"/>
        </w:numPr>
      </w:pPr>
      <w:r>
        <w:t>E</w:t>
      </w:r>
      <w:r w:rsidR="00325317" w:rsidRPr="00642F23">
        <w:t>lder people</w:t>
      </w:r>
    </w:p>
    <w:p w:rsidR="00325317" w:rsidRPr="00642F23" w:rsidRDefault="00F80AA3" w:rsidP="00325317">
      <w:pPr>
        <w:pStyle w:val="ListParagraph"/>
        <w:numPr>
          <w:ilvl w:val="0"/>
          <w:numId w:val="7"/>
        </w:numPr>
      </w:pPr>
      <w:r>
        <w:t>P</w:t>
      </w:r>
      <w:r w:rsidR="00325317" w:rsidRPr="00642F23">
        <w:t>eople living with HIV</w:t>
      </w:r>
    </w:p>
    <w:p w:rsidR="00325317" w:rsidRPr="00642F23" w:rsidRDefault="00F80AA3" w:rsidP="00325317">
      <w:pPr>
        <w:pStyle w:val="ListParagraph"/>
        <w:numPr>
          <w:ilvl w:val="0"/>
          <w:numId w:val="7"/>
        </w:numPr>
      </w:pPr>
      <w:r>
        <w:t>P</w:t>
      </w:r>
      <w:r w:rsidR="00065E61" w:rsidRPr="00642F23">
        <w:t>eople l</w:t>
      </w:r>
      <w:r>
        <w:t>iving with different abilities</w:t>
      </w:r>
    </w:p>
    <w:p w:rsidR="00655AD5" w:rsidRPr="00642F23" w:rsidRDefault="00F80AA3" w:rsidP="00325317">
      <w:pPr>
        <w:pStyle w:val="ListParagraph"/>
        <w:numPr>
          <w:ilvl w:val="0"/>
          <w:numId w:val="7"/>
        </w:numPr>
      </w:pPr>
      <w:r>
        <w:t>P</w:t>
      </w:r>
      <w:r w:rsidR="00655AD5" w:rsidRPr="00642F23">
        <w:t xml:space="preserve">eople globally </w:t>
      </w:r>
      <w:r w:rsidR="00E63F22" w:rsidRPr="00642F23">
        <w:t>living under</w:t>
      </w:r>
      <w:r w:rsidR="00655AD5" w:rsidRPr="00642F23">
        <w:t xml:space="preserve"> oppressive regimes.</w:t>
      </w:r>
    </w:p>
    <w:p w:rsidR="00325317" w:rsidRPr="00642F23" w:rsidRDefault="00325317" w:rsidP="00325317">
      <w:pPr>
        <w:pStyle w:val="Heading3"/>
      </w:pPr>
      <w:r w:rsidRPr="00642F23">
        <w:t>The difference JOY makes to this need</w:t>
      </w:r>
    </w:p>
    <w:p w:rsidR="00F05C0C" w:rsidRPr="00642F23" w:rsidRDefault="00F05C0C" w:rsidP="00D91B19">
      <w:r w:rsidRPr="00642F23">
        <w:t xml:space="preserve">We know </w:t>
      </w:r>
      <w:r w:rsidR="00655AD5" w:rsidRPr="00642F23">
        <w:t xml:space="preserve">JOY is a </w:t>
      </w:r>
      <w:r w:rsidRPr="00642F23">
        <w:t xml:space="preserve">strong </w:t>
      </w:r>
      <w:r w:rsidR="00655AD5" w:rsidRPr="00642F23">
        <w:t>mental health support</w:t>
      </w:r>
      <w:r w:rsidR="00AA611C" w:rsidRPr="00642F23">
        <w:t xml:space="preserve"> – we are ‘always there’</w:t>
      </w:r>
      <w:r w:rsidRPr="00642F23">
        <w:t>.</w:t>
      </w:r>
      <w:r w:rsidR="00325317" w:rsidRPr="00642F23">
        <w:t xml:space="preserve"> Everyday our radio content uplifts, informs and empowers</w:t>
      </w:r>
      <w:r w:rsidR="008D2F5E" w:rsidRPr="00642F23">
        <w:t>. Our professional sound and engaging content reaches GLBTIQ people and others, and our speciality programming represents the diversity of our communities and supporters</w:t>
      </w:r>
      <w:r w:rsidR="00325317" w:rsidRPr="00642F23">
        <w:t>. Over 300,000 people listen in Melbourne, and we are streamed and downloaded 10,000s of times a month across Australia and globally. We are one of only four community GLBTIQ radio stations in the world.</w:t>
      </w:r>
      <w:r w:rsidRPr="00642F23">
        <w:t xml:space="preserve"> Our members and volunteers make us </w:t>
      </w:r>
      <w:r w:rsidR="00655AD5" w:rsidRPr="00642F23">
        <w:t>one of Australia’s largest GLBT</w:t>
      </w:r>
      <w:r w:rsidR="00065E61" w:rsidRPr="00642F23">
        <w:t>IQ</w:t>
      </w:r>
      <w:r w:rsidR="00655AD5" w:rsidRPr="00642F23">
        <w:t xml:space="preserve"> </w:t>
      </w:r>
      <w:r w:rsidR="00D66AC9" w:rsidRPr="00642F23">
        <w:t>organisations</w:t>
      </w:r>
      <w:r w:rsidR="008D2F5E" w:rsidRPr="00642F23">
        <w:t xml:space="preserve"> and one of our strongest voices.</w:t>
      </w:r>
    </w:p>
    <w:p w:rsidR="00325317" w:rsidRPr="00642F23" w:rsidRDefault="00C20101" w:rsidP="00325317">
      <w:pPr>
        <w:pStyle w:val="Heading3"/>
      </w:pPr>
      <w:r w:rsidRPr="00642F23">
        <w:t>This strategic plan</w:t>
      </w:r>
    </w:p>
    <w:p w:rsidR="00F05C0C" w:rsidRPr="00642F23" w:rsidRDefault="008D2F5E" w:rsidP="00D91B19">
      <w:r w:rsidRPr="00642F23">
        <w:t xml:space="preserve">The ever-changing needs faced by our communities </w:t>
      </w:r>
      <w:r w:rsidR="00C20101" w:rsidRPr="00642F23">
        <w:t xml:space="preserve">demand </w:t>
      </w:r>
      <w:r w:rsidR="00E63F22" w:rsidRPr="00642F23">
        <w:t>we stay determined</w:t>
      </w:r>
      <w:r w:rsidR="00325317" w:rsidRPr="00642F23">
        <w:t xml:space="preserve"> and </w:t>
      </w:r>
      <w:r w:rsidR="00E63F22" w:rsidRPr="00642F23">
        <w:t>innovative</w:t>
      </w:r>
      <w:r w:rsidR="00F05C0C" w:rsidRPr="00642F23">
        <w:t xml:space="preserve">. The changing media landscape demands we stay </w:t>
      </w:r>
      <w:r w:rsidR="00E63F22" w:rsidRPr="00642F23">
        <w:t xml:space="preserve">easily-accessible and globally connected. The changing social landscape demands we stay </w:t>
      </w:r>
      <w:r w:rsidR="00301C07" w:rsidRPr="00642F23">
        <w:t xml:space="preserve">in touch with </w:t>
      </w:r>
      <w:r w:rsidR="00F05C0C" w:rsidRPr="00642F23">
        <w:t xml:space="preserve">our </w:t>
      </w:r>
      <w:r w:rsidR="00301C07" w:rsidRPr="00642F23">
        <w:t>communities</w:t>
      </w:r>
      <w:r w:rsidR="00325317" w:rsidRPr="00642F23">
        <w:t xml:space="preserve"> </w:t>
      </w:r>
      <w:r w:rsidR="00346013" w:rsidRPr="00642F23">
        <w:t xml:space="preserve">and </w:t>
      </w:r>
      <w:r w:rsidR="00B72CF9">
        <w:t xml:space="preserve">be </w:t>
      </w:r>
      <w:r w:rsidR="00065E61" w:rsidRPr="00642F23">
        <w:t>ever-evolving in our understanding of inclusion</w:t>
      </w:r>
      <w:r w:rsidR="00E63F22" w:rsidRPr="00642F23">
        <w:t xml:space="preserve">. And finally, our listeners demand we continue to produce GREAT RADIO through the power of entertainment, </w:t>
      </w:r>
      <w:r w:rsidR="00065E61" w:rsidRPr="00642F23">
        <w:t xml:space="preserve">leading-edge </w:t>
      </w:r>
      <w:r w:rsidR="00E63F22" w:rsidRPr="00642F23">
        <w:t xml:space="preserve">music and in-depth specialist </w:t>
      </w:r>
      <w:r w:rsidR="00C20101" w:rsidRPr="00642F23">
        <w:t>content</w:t>
      </w:r>
      <w:r w:rsidR="00E63F22" w:rsidRPr="00642F23">
        <w:t>.</w:t>
      </w:r>
    </w:p>
    <w:p w:rsidR="004F0967" w:rsidRDefault="00065E61">
      <w:pPr>
        <w:rPr>
          <w:b/>
          <w:color w:val="005BAB"/>
          <w:sz w:val="28"/>
        </w:rPr>
      </w:pPr>
      <w:r w:rsidRPr="00642F23">
        <w:t xml:space="preserve">This Strategic Plan, </w:t>
      </w:r>
      <w:r w:rsidRPr="00642F23">
        <w:rPr>
          <w:i/>
        </w:rPr>
        <w:t xml:space="preserve">Our Voice Our Vision </w:t>
      </w:r>
      <w:r w:rsidR="009D609C">
        <w:rPr>
          <w:i/>
        </w:rPr>
        <w:t xml:space="preserve">(July </w:t>
      </w:r>
      <w:r w:rsidRPr="00642F23">
        <w:rPr>
          <w:i/>
        </w:rPr>
        <w:t>2014</w:t>
      </w:r>
      <w:r w:rsidR="009D609C">
        <w:rPr>
          <w:i/>
        </w:rPr>
        <w:t xml:space="preserve"> – June </w:t>
      </w:r>
      <w:r w:rsidRPr="00642F23">
        <w:rPr>
          <w:i/>
        </w:rPr>
        <w:t>2017</w:t>
      </w:r>
      <w:r w:rsidR="009D609C">
        <w:rPr>
          <w:i/>
        </w:rPr>
        <w:t>)</w:t>
      </w:r>
      <w:r w:rsidRPr="00642F23">
        <w:t xml:space="preserve">, is the result of extensive consultation </w:t>
      </w:r>
      <w:r w:rsidR="00AC028A">
        <w:t xml:space="preserve">including two surveys and five workshops with over 300 responses from volunteers, members, listeners, Patrons, Life Members, and community stakeholders. Its development was </w:t>
      </w:r>
      <w:r w:rsidR="00AC028A">
        <w:lastRenderedPageBreak/>
        <w:t xml:space="preserve">overseen by the Board and a working group with input from JOY’s five Committees. It is </w:t>
      </w:r>
      <w:r w:rsidR="00AC028A" w:rsidRPr="00642F23">
        <w:t>our collective vision for JOY going from strength to strength over the next three years.</w:t>
      </w:r>
    </w:p>
    <w:p w:rsidR="00B51B69" w:rsidRPr="00B51B69" w:rsidRDefault="00325317" w:rsidP="00711E6F">
      <w:pPr>
        <w:pStyle w:val="Heading2"/>
      </w:pPr>
      <w:r>
        <w:t>P</w:t>
      </w:r>
      <w:r w:rsidR="00B51B69">
        <w:t>urpose</w:t>
      </w:r>
    </w:p>
    <w:p w:rsidR="007A420E" w:rsidRDefault="00B51B69">
      <w:pPr>
        <w:rPr>
          <w:b/>
          <w:color w:val="005BAB"/>
          <w:sz w:val="28"/>
        </w:rPr>
      </w:pPr>
      <w:r w:rsidRPr="00F24BE8">
        <w:t xml:space="preserve">JOY is a volunteer-based community radio station committed to providing a voice for the diverse </w:t>
      </w:r>
      <w:r w:rsidR="00F24BE8" w:rsidRPr="00F24BE8">
        <w:t xml:space="preserve">gay, lesbian, bisexual, transgender, intersex and queer </w:t>
      </w:r>
      <w:r w:rsidRPr="00F24BE8">
        <w:t>communities, enabling freedom of expression, the breaking down of isolation and the celebration of our culture, achievements and pride.</w:t>
      </w:r>
    </w:p>
    <w:p w:rsidR="008D5920" w:rsidRPr="00B51B69" w:rsidRDefault="008D5920" w:rsidP="00711E6F">
      <w:pPr>
        <w:pStyle w:val="Heading2"/>
      </w:pPr>
      <w:r>
        <w:t>Values</w:t>
      </w:r>
    </w:p>
    <w:p w:rsidR="00C40447" w:rsidRDefault="008A444D" w:rsidP="00C40447">
      <w:r>
        <w:t>In pursuing our purpose, we value:</w:t>
      </w:r>
    </w:p>
    <w:tbl>
      <w:tblPr>
        <w:tblStyle w:val="TableGrid"/>
        <w:tblW w:w="0" w:type="auto"/>
        <w:tblBorders>
          <w:top w:val="single" w:sz="4" w:space="0" w:color="D60D8C"/>
          <w:left w:val="single" w:sz="4" w:space="0" w:color="D60D8C"/>
          <w:bottom w:val="single" w:sz="4" w:space="0" w:color="D60D8C"/>
          <w:right w:val="single" w:sz="4" w:space="0" w:color="D60D8C"/>
          <w:insideH w:val="single" w:sz="4" w:space="0" w:color="D60D8C"/>
          <w:insideV w:val="single" w:sz="4" w:space="0" w:color="D60D8C"/>
        </w:tblBorders>
        <w:tblLook w:val="04A0" w:firstRow="1" w:lastRow="0" w:firstColumn="1" w:lastColumn="0" w:noHBand="0" w:noVBand="1"/>
      </w:tblPr>
      <w:tblGrid>
        <w:gridCol w:w="1622"/>
        <w:gridCol w:w="7620"/>
      </w:tblGrid>
      <w:tr w:rsidR="00C40447" w:rsidTr="007A420E">
        <w:tc>
          <w:tcPr>
            <w:tcW w:w="1622" w:type="dxa"/>
            <w:vAlign w:val="center"/>
          </w:tcPr>
          <w:p w:rsidR="00C40447" w:rsidRDefault="00C40447" w:rsidP="00C40447">
            <w:r>
              <w:t>Inclusion</w:t>
            </w:r>
          </w:p>
        </w:tc>
        <w:tc>
          <w:tcPr>
            <w:tcW w:w="7620" w:type="dxa"/>
          </w:tcPr>
          <w:p w:rsidR="00C40447" w:rsidRDefault="00A14E3C" w:rsidP="007A420E">
            <w:r>
              <w:t xml:space="preserve">To have </w:t>
            </w:r>
            <w:r w:rsidR="00C40447">
              <w:t xml:space="preserve">diverse voices </w:t>
            </w:r>
            <w:r w:rsidR="00065E61">
              <w:t xml:space="preserve">be heard and celebrated, representative of our </w:t>
            </w:r>
            <w:r>
              <w:t xml:space="preserve">diverse </w:t>
            </w:r>
            <w:r w:rsidR="00065E61">
              <w:t xml:space="preserve">communities, </w:t>
            </w:r>
            <w:r w:rsidR="007A420E">
              <w:t xml:space="preserve">promoting </w:t>
            </w:r>
            <w:r w:rsidR="00C40447">
              <w:t>freedom of expression</w:t>
            </w:r>
          </w:p>
        </w:tc>
      </w:tr>
      <w:tr w:rsidR="00C40447" w:rsidTr="007A420E">
        <w:tc>
          <w:tcPr>
            <w:tcW w:w="1622" w:type="dxa"/>
            <w:vAlign w:val="center"/>
          </w:tcPr>
          <w:p w:rsidR="00C40447" w:rsidRDefault="00C40447" w:rsidP="00C40447">
            <w:r>
              <w:t>Respect</w:t>
            </w:r>
            <w:r>
              <w:tab/>
            </w:r>
          </w:p>
        </w:tc>
        <w:tc>
          <w:tcPr>
            <w:tcW w:w="7620" w:type="dxa"/>
          </w:tcPr>
          <w:p w:rsidR="00C40447" w:rsidRDefault="00C40447" w:rsidP="00642F23">
            <w:r>
              <w:t>To</w:t>
            </w:r>
            <w:r w:rsidR="00642F23">
              <w:t xml:space="preserve"> demonstrate pride in ourselves</w:t>
            </w:r>
            <w:r>
              <w:t xml:space="preserve"> and </w:t>
            </w:r>
            <w:r w:rsidR="00642F23">
              <w:t xml:space="preserve">our </w:t>
            </w:r>
            <w:r>
              <w:t>achievements</w:t>
            </w:r>
            <w:r w:rsidR="00065E61">
              <w:t xml:space="preserve">, </w:t>
            </w:r>
            <w:r w:rsidR="00642F23">
              <w:t xml:space="preserve">to recognise the work of our volunteers and staff, </w:t>
            </w:r>
            <w:r w:rsidR="00065E61">
              <w:t xml:space="preserve">and to </w:t>
            </w:r>
            <w:r w:rsidR="00A14E3C">
              <w:t>cherish strength in diversity</w:t>
            </w:r>
            <w:r w:rsidR="00642F23">
              <w:t xml:space="preserve"> </w:t>
            </w:r>
          </w:p>
        </w:tc>
      </w:tr>
      <w:tr w:rsidR="00C40447" w:rsidTr="007A420E">
        <w:tc>
          <w:tcPr>
            <w:tcW w:w="1622" w:type="dxa"/>
            <w:vAlign w:val="center"/>
          </w:tcPr>
          <w:p w:rsidR="00C40447" w:rsidRDefault="00C40447" w:rsidP="00C40447">
            <w:r>
              <w:t>Integrity</w:t>
            </w:r>
          </w:p>
        </w:tc>
        <w:tc>
          <w:tcPr>
            <w:tcW w:w="7620" w:type="dxa"/>
          </w:tcPr>
          <w:p w:rsidR="00C40447" w:rsidRDefault="00C40447" w:rsidP="00642F23">
            <w:r>
              <w:t xml:space="preserve">To be </w:t>
            </w:r>
            <w:r w:rsidR="00642F23">
              <w:t xml:space="preserve">professional, </w:t>
            </w:r>
            <w:r>
              <w:t>accountable, equitable</w:t>
            </w:r>
            <w:r w:rsidR="007A420E">
              <w:t>, participatory</w:t>
            </w:r>
            <w:r>
              <w:t xml:space="preserve"> and ethical</w:t>
            </w:r>
          </w:p>
        </w:tc>
      </w:tr>
      <w:tr w:rsidR="00C40447" w:rsidTr="007A420E">
        <w:tc>
          <w:tcPr>
            <w:tcW w:w="1622" w:type="dxa"/>
            <w:vAlign w:val="center"/>
          </w:tcPr>
          <w:p w:rsidR="00C40447" w:rsidRDefault="00C40447" w:rsidP="00C40447">
            <w:r>
              <w:t>Sustainability</w:t>
            </w:r>
          </w:p>
        </w:tc>
        <w:tc>
          <w:tcPr>
            <w:tcW w:w="7620" w:type="dxa"/>
          </w:tcPr>
          <w:p w:rsidR="00C40447" w:rsidRDefault="00C40447" w:rsidP="007A420E">
            <w:r>
              <w:t>To be balanced in our content, finances</w:t>
            </w:r>
            <w:r w:rsidR="00A14E3C">
              <w:t xml:space="preserve">, governance and </w:t>
            </w:r>
            <w:r w:rsidR="00065E61">
              <w:t>operations</w:t>
            </w:r>
            <w:r w:rsidR="007A420E">
              <w:t>, and individually in our work/volunteer commitments</w:t>
            </w:r>
          </w:p>
        </w:tc>
      </w:tr>
      <w:tr w:rsidR="00C40447" w:rsidTr="007A420E">
        <w:tc>
          <w:tcPr>
            <w:tcW w:w="1622" w:type="dxa"/>
            <w:vAlign w:val="center"/>
          </w:tcPr>
          <w:p w:rsidR="00C40447" w:rsidRDefault="00C40447" w:rsidP="00C40447">
            <w:r w:rsidRPr="00065E61">
              <w:t>Leadership</w:t>
            </w:r>
          </w:p>
        </w:tc>
        <w:tc>
          <w:tcPr>
            <w:tcW w:w="7620" w:type="dxa"/>
          </w:tcPr>
          <w:p w:rsidR="00C40447" w:rsidRDefault="00065E61" w:rsidP="00642F23">
            <w:r w:rsidRPr="00A22229">
              <w:t xml:space="preserve">To be </w:t>
            </w:r>
            <w:r w:rsidR="00642F23" w:rsidRPr="00A22229">
              <w:t xml:space="preserve">strategic, courageous </w:t>
            </w:r>
            <w:r w:rsidRPr="00A22229">
              <w:t xml:space="preserve">and visionary, </w:t>
            </w:r>
            <w:r w:rsidR="00A14E3C" w:rsidRPr="00A22229">
              <w:t xml:space="preserve">and to empower </w:t>
            </w:r>
            <w:r w:rsidRPr="00A22229">
              <w:t xml:space="preserve">everyone to </w:t>
            </w:r>
            <w:r w:rsidR="00642F23" w:rsidRPr="00A22229">
              <w:t>take creative and constructive action aligned with our purpose and values</w:t>
            </w:r>
          </w:p>
        </w:tc>
      </w:tr>
    </w:tbl>
    <w:p w:rsidR="00C40447" w:rsidRDefault="00C40447" w:rsidP="00C40447">
      <w:pPr>
        <w:sectPr w:rsidR="00C40447" w:rsidSect="00301C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810" w:left="1440" w:header="708" w:footer="708" w:gutter="0"/>
          <w:cols w:space="708"/>
          <w:docGrid w:linePitch="360"/>
        </w:sectPr>
      </w:pPr>
    </w:p>
    <w:p w:rsidR="00C40447" w:rsidRDefault="00C40447" w:rsidP="00C40447"/>
    <w:p w:rsidR="00532D58" w:rsidRDefault="001D0658" w:rsidP="00532D58">
      <w:pPr>
        <w:pStyle w:val="Heading2"/>
      </w:pPr>
      <w:r>
        <w:t>Strategic goals</w:t>
      </w:r>
    </w:p>
    <w:p w:rsidR="00A14E3C" w:rsidRDefault="0023411A" w:rsidP="00532D58">
      <w:r>
        <w:t>Our strategic goals are across five pillars.</w:t>
      </w:r>
    </w:p>
    <w:p w:rsidR="00A14E3C" w:rsidRDefault="00A14E3C" w:rsidP="00532D58">
      <w:pPr>
        <w:sectPr w:rsidR="00A14E3C" w:rsidSect="0023411A">
          <w:type w:val="continuous"/>
          <w:pgSz w:w="11906" w:h="16838"/>
          <w:pgMar w:top="1440" w:right="1440" w:bottom="1080" w:left="1440" w:header="708" w:footer="708" w:gutter="0"/>
          <w:cols w:space="708"/>
          <w:docGrid w:linePitch="360"/>
        </w:sectPr>
      </w:pPr>
    </w:p>
    <w:p w:rsidR="00532D58" w:rsidRPr="0023411A" w:rsidRDefault="0023411A" w:rsidP="00532D58">
      <w:r w:rsidRPr="0023411A">
        <w:lastRenderedPageBreak/>
        <w:t>T</w:t>
      </w:r>
      <w:r w:rsidR="00532D58" w:rsidRPr="0023411A">
        <w:t>wo external</w:t>
      </w:r>
      <w:r w:rsidRPr="0023411A">
        <w:t>ly</w:t>
      </w:r>
      <w:r w:rsidR="00532D58" w:rsidRPr="0023411A">
        <w:t xml:space="preserve"> </w:t>
      </w:r>
      <w:r w:rsidR="00C40447">
        <w:t>focussed</w:t>
      </w:r>
      <w:r w:rsidR="00532D58" w:rsidRPr="0023411A">
        <w:t>:</w:t>
      </w:r>
    </w:p>
    <w:p w:rsidR="00532D58" w:rsidRPr="0023411A" w:rsidRDefault="00532D58" w:rsidP="00532D58">
      <w:pPr>
        <w:pStyle w:val="ListParagraph"/>
        <w:numPr>
          <w:ilvl w:val="0"/>
          <w:numId w:val="6"/>
        </w:numPr>
      </w:pPr>
      <w:r w:rsidRPr="0023411A">
        <w:t xml:space="preserve">Radio and </w:t>
      </w:r>
      <w:r w:rsidR="00073B53">
        <w:t xml:space="preserve">associated </w:t>
      </w:r>
      <w:r w:rsidRPr="0023411A">
        <w:t>media</w:t>
      </w:r>
    </w:p>
    <w:p w:rsidR="00532D58" w:rsidRPr="0023411A" w:rsidRDefault="00532D58" w:rsidP="00532D58">
      <w:pPr>
        <w:pStyle w:val="ListParagraph"/>
        <w:numPr>
          <w:ilvl w:val="0"/>
          <w:numId w:val="6"/>
        </w:numPr>
      </w:pPr>
      <w:r w:rsidRPr="0023411A">
        <w:t>Community.</w:t>
      </w:r>
    </w:p>
    <w:p w:rsidR="00532D58" w:rsidRDefault="0023411A" w:rsidP="00532D58">
      <w:r w:rsidRPr="0023411A">
        <w:lastRenderedPageBreak/>
        <w:t xml:space="preserve">Three internally </w:t>
      </w:r>
      <w:r w:rsidR="001D0658" w:rsidRPr="0023411A">
        <w:t>focus</w:t>
      </w:r>
      <w:r w:rsidRPr="0023411A">
        <w:t>sed</w:t>
      </w:r>
      <w:r w:rsidR="00532D58" w:rsidRPr="0023411A">
        <w:t>:</w:t>
      </w:r>
    </w:p>
    <w:p w:rsidR="00532D58" w:rsidRDefault="00532D58" w:rsidP="00532D58">
      <w:pPr>
        <w:pStyle w:val="ListParagraph"/>
        <w:numPr>
          <w:ilvl w:val="0"/>
          <w:numId w:val="6"/>
        </w:numPr>
      </w:pPr>
      <w:r>
        <w:t>People</w:t>
      </w:r>
    </w:p>
    <w:p w:rsidR="00677729" w:rsidRDefault="00677729" w:rsidP="00532D58">
      <w:pPr>
        <w:pStyle w:val="ListParagraph"/>
        <w:numPr>
          <w:ilvl w:val="0"/>
          <w:numId w:val="6"/>
        </w:numPr>
      </w:pPr>
      <w:r>
        <w:t>Infrastructure</w:t>
      </w:r>
    </w:p>
    <w:p w:rsidR="00C40447" w:rsidRDefault="00532D58" w:rsidP="00677729">
      <w:pPr>
        <w:pStyle w:val="ListParagraph"/>
        <w:numPr>
          <w:ilvl w:val="0"/>
          <w:numId w:val="6"/>
        </w:numPr>
        <w:sectPr w:rsidR="00C40447" w:rsidSect="00C40447">
          <w:type w:val="continuous"/>
          <w:pgSz w:w="11906" w:h="16838"/>
          <w:pgMar w:top="1440" w:right="1440" w:bottom="1080" w:left="1440" w:header="708" w:footer="708" w:gutter="0"/>
          <w:cols w:num="2" w:space="708"/>
          <w:docGrid w:linePitch="360"/>
        </w:sectPr>
      </w:pPr>
      <w:r>
        <w:t>Governance</w:t>
      </w:r>
      <w:r w:rsidR="00677729">
        <w:t>.</w:t>
      </w:r>
    </w:p>
    <w:p w:rsidR="00B70BE7" w:rsidRDefault="00B70BE7"/>
    <w:p w:rsidR="00C346B4" w:rsidRDefault="005200BE">
      <w:pPr>
        <w:rPr>
          <w:b/>
          <w:color w:val="D60D8C"/>
          <w:sz w:val="32"/>
        </w:rPr>
      </w:pPr>
      <w:r>
        <w:t>(</w:t>
      </w:r>
      <w:r w:rsidR="00B70BE7">
        <w:t xml:space="preserve">Please note: </w:t>
      </w:r>
      <w:r>
        <w:t xml:space="preserve">figures </w:t>
      </w:r>
      <w:r w:rsidR="00B70BE7">
        <w:t>under ‘measures’</w:t>
      </w:r>
      <w:r>
        <w:t xml:space="preserve"> </w:t>
      </w:r>
      <w:r w:rsidR="00B70BE7">
        <w:t>refer to the last 12 months (2013/14) or are as at June 2014.</w:t>
      </w:r>
      <w:r>
        <w:t>)</w:t>
      </w:r>
      <w:r w:rsidR="00C346B4">
        <w:br w:type="page"/>
      </w:r>
    </w:p>
    <w:p w:rsidR="00F24BE8" w:rsidRPr="008D5920" w:rsidRDefault="00F24BE8" w:rsidP="00711E6F">
      <w:pPr>
        <w:pStyle w:val="Heading3"/>
      </w:pPr>
      <w:r w:rsidRPr="008D5920">
        <w:lastRenderedPageBreak/>
        <w:t xml:space="preserve">Radio and </w:t>
      </w:r>
      <w:r w:rsidR="008B4ECA">
        <w:t>associated</w:t>
      </w:r>
      <w:r w:rsidRPr="008D5920">
        <w:t xml:space="preserve"> media</w:t>
      </w:r>
    </w:p>
    <w:p w:rsidR="00F24BE8" w:rsidRDefault="008D5920" w:rsidP="00F24BE8">
      <w:r>
        <w:t xml:space="preserve">Dream </w:t>
      </w:r>
      <w:r w:rsidR="00532D58">
        <w:t>S</w:t>
      </w:r>
      <w:r>
        <w:t>tatement: T</w:t>
      </w:r>
      <w:r w:rsidRPr="008D5920">
        <w:t>o connect, represent and celebrate our diver</w:t>
      </w:r>
      <w:r w:rsidR="008B4ECA">
        <w:t>se communities</w:t>
      </w:r>
      <w:r w:rsidRPr="008D5920">
        <w:t xml:space="preserve"> through programming that uplifts, informs and empowers.</w:t>
      </w:r>
    </w:p>
    <w:tbl>
      <w:tblPr>
        <w:tblStyle w:val="TableGrid"/>
        <w:tblW w:w="10080" w:type="dxa"/>
        <w:tblInd w:w="-432" w:type="dxa"/>
        <w:tblBorders>
          <w:top w:val="single" w:sz="4" w:space="0" w:color="D60D8C"/>
          <w:left w:val="single" w:sz="4" w:space="0" w:color="D60D8C"/>
          <w:bottom w:val="single" w:sz="4" w:space="0" w:color="D60D8C"/>
          <w:right w:val="single" w:sz="4" w:space="0" w:color="D60D8C"/>
          <w:insideH w:val="single" w:sz="4" w:space="0" w:color="D60D8C"/>
          <w:insideV w:val="single" w:sz="4" w:space="0" w:color="D60D8C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2970"/>
        <w:gridCol w:w="3870"/>
      </w:tblGrid>
      <w:tr w:rsidR="0094586A" w:rsidTr="009D609C">
        <w:tc>
          <w:tcPr>
            <w:tcW w:w="1530" w:type="dxa"/>
            <w:shd w:val="clear" w:color="auto" w:fill="DAEEF3" w:themeFill="accent5" w:themeFillTint="33"/>
          </w:tcPr>
          <w:p w:rsidR="0094586A" w:rsidRPr="008D5920" w:rsidRDefault="009D609C" w:rsidP="00F24BE8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G</w:t>
            </w:r>
            <w:r w:rsidR="0094586A" w:rsidRPr="008D5920">
              <w:rPr>
                <w:b/>
                <w:color w:val="005BAB"/>
              </w:rPr>
              <w:t>oal</w:t>
            </w:r>
            <w:r w:rsidR="00115890">
              <w:rPr>
                <w:b/>
                <w:color w:val="005BAB"/>
              </w:rPr>
              <w:t>s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94586A" w:rsidRPr="008D5920" w:rsidRDefault="0094586A" w:rsidP="00F24BE8">
            <w:pPr>
              <w:rPr>
                <w:b/>
                <w:color w:val="005BAB"/>
              </w:rPr>
            </w:pPr>
            <w:r w:rsidRPr="008D5920">
              <w:rPr>
                <w:b/>
                <w:color w:val="005BAB"/>
              </w:rPr>
              <w:t>Strategies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94586A" w:rsidRPr="006C2A1A" w:rsidRDefault="009D609C" w:rsidP="00C346B4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Activities</w:t>
            </w:r>
          </w:p>
        </w:tc>
        <w:tc>
          <w:tcPr>
            <w:tcW w:w="3870" w:type="dxa"/>
            <w:shd w:val="clear" w:color="auto" w:fill="DAEEF3" w:themeFill="accent5" w:themeFillTint="33"/>
          </w:tcPr>
          <w:p w:rsidR="0094586A" w:rsidRPr="006C2A1A" w:rsidRDefault="009D609C" w:rsidP="00C346B4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Measure</w:t>
            </w:r>
            <w:r w:rsidR="00115890">
              <w:rPr>
                <w:b/>
                <w:color w:val="005BAB"/>
              </w:rPr>
              <w:t>s</w:t>
            </w:r>
          </w:p>
        </w:tc>
      </w:tr>
      <w:tr w:rsidR="00554ECF" w:rsidTr="009D609C">
        <w:trPr>
          <w:trHeight w:val="130"/>
        </w:trPr>
        <w:tc>
          <w:tcPr>
            <w:tcW w:w="153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Deliver quality programming that serves our purpose and demonstrates our values</w:t>
            </w:r>
          </w:p>
        </w:tc>
        <w:tc>
          <w:tcPr>
            <w:tcW w:w="171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Represent and celebrate diversity</w:t>
            </w:r>
          </w:p>
        </w:tc>
        <w:tc>
          <w:tcPr>
            <w:tcW w:w="297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Optimise the gender balance of presenters, including increasing the number of LBTQ females on-air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Improve female representation on-air (currently weekday </w:t>
            </w:r>
            <w:r w:rsidR="00BE7E3E" w:rsidRPr="00B72CF9">
              <w:rPr>
                <w:rFonts w:ascii="Calibri" w:hAnsi="Calibri"/>
              </w:rPr>
              <w:t>37</w:t>
            </w:r>
            <w:r w:rsidRPr="00B72CF9">
              <w:rPr>
                <w:rFonts w:ascii="Calibri" w:hAnsi="Calibri"/>
              </w:rPr>
              <w:t xml:space="preserve">%, specialist </w:t>
            </w:r>
            <w:r w:rsidR="00BE7E3E" w:rsidRPr="00B72CF9">
              <w:rPr>
                <w:rFonts w:ascii="Calibri" w:hAnsi="Calibri"/>
              </w:rPr>
              <w:t>31</w:t>
            </w:r>
            <w:r w:rsidRPr="00B72CF9">
              <w:rPr>
                <w:rFonts w:ascii="Calibri" w:hAnsi="Calibri"/>
              </w:rPr>
              <w:t>%)</w:t>
            </w:r>
          </w:p>
        </w:tc>
      </w:tr>
      <w:tr w:rsidR="00554ECF" w:rsidTr="009D609C">
        <w:trPr>
          <w:trHeight w:val="13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Improve LBTQ female representation on-air (currently weekday </w:t>
            </w:r>
            <w:r w:rsidR="00BE7E3E" w:rsidRPr="00B72CF9">
              <w:rPr>
                <w:rFonts w:ascii="Calibri" w:hAnsi="Calibri"/>
              </w:rPr>
              <w:t>16</w:t>
            </w:r>
            <w:r w:rsidRPr="00B72CF9">
              <w:rPr>
                <w:rFonts w:ascii="Calibri" w:hAnsi="Calibri"/>
              </w:rPr>
              <w:t xml:space="preserve">%, specialist </w:t>
            </w:r>
            <w:r w:rsidR="00BE7E3E" w:rsidRPr="00B72CF9">
              <w:rPr>
                <w:rFonts w:ascii="Calibri" w:hAnsi="Calibri"/>
              </w:rPr>
              <w:t>25</w:t>
            </w:r>
            <w:r w:rsidRPr="00B72CF9">
              <w:rPr>
                <w:rFonts w:ascii="Calibri" w:hAnsi="Calibri"/>
              </w:rPr>
              <w:t>%)</w:t>
            </w:r>
          </w:p>
        </w:tc>
      </w:tr>
      <w:tr w:rsidR="00554ECF" w:rsidTr="009D609C">
        <w:trPr>
          <w:trHeight w:val="13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and monitor metrics on sexuality and gender diversity on-air</w:t>
            </w:r>
          </w:p>
        </w:tc>
      </w:tr>
      <w:tr w:rsidR="00554ECF" w:rsidTr="009D609C">
        <w:trPr>
          <w:trHeight w:val="17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Ensure programming reflects the diversity of our communities</w:t>
            </w:r>
          </w:p>
        </w:tc>
        <w:tc>
          <w:tcPr>
            <w:tcW w:w="3870" w:type="dxa"/>
            <w:vAlign w:val="center"/>
          </w:tcPr>
          <w:p w:rsidR="00554ECF" w:rsidRPr="00B72CF9" w:rsidRDefault="00086A05" w:rsidP="00C33C2D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Have specialist programs that r</w:t>
            </w:r>
            <w:r w:rsidR="00554ECF" w:rsidRPr="00B72CF9">
              <w:rPr>
                <w:rFonts w:ascii="Calibri" w:hAnsi="Calibri"/>
              </w:rPr>
              <w:t>epresent all cohorts of our community across sexual and gender diversity</w:t>
            </w:r>
            <w:r w:rsidR="00C33C2D">
              <w:rPr>
                <w:rFonts w:ascii="Calibri" w:hAnsi="Calibri"/>
              </w:rPr>
              <w:t xml:space="preserve"> (GLBTIQ and allies)</w:t>
            </w:r>
          </w:p>
        </w:tc>
      </w:tr>
      <w:tr w:rsidR="00554ECF" w:rsidTr="009D609C">
        <w:trPr>
          <w:trHeight w:val="17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Maintain and increase music from GLBTIQ artists</w:t>
            </w:r>
            <w:r w:rsidR="00B70BE7" w:rsidRPr="00B72CF9">
              <w:rPr>
                <w:rFonts w:ascii="Calibri" w:hAnsi="Calibri"/>
              </w:rPr>
              <w:t xml:space="preserve"> (currently weekday 13%</w:t>
            </w:r>
            <w:r w:rsidRPr="00B72CF9">
              <w:rPr>
                <w:rFonts w:ascii="Calibri" w:hAnsi="Calibri"/>
              </w:rPr>
              <w:t>)</w:t>
            </w:r>
          </w:p>
        </w:tc>
      </w:tr>
      <w:tr w:rsidR="00554ECF" w:rsidTr="009D609C">
        <w:trPr>
          <w:trHeight w:val="9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Increase the breadth of voices and programs on-air, and build capacity of GLBTIQ presenters from other priority communities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GLBTIQ presenters who identify from target cohorts listed under ‘need’</w:t>
            </w:r>
          </w:p>
        </w:tc>
      </w:tr>
      <w:tr w:rsidR="00554ECF" w:rsidTr="009D609C">
        <w:trPr>
          <w:trHeight w:val="9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Actively encourage program proposals from target cohorts listed under ‘need’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Produce a professional sound and quality content that entertains, informs and empowers</w:t>
            </w:r>
          </w:p>
        </w:tc>
        <w:tc>
          <w:tcPr>
            <w:tcW w:w="2970" w:type="dxa"/>
            <w:vMerge w:val="restart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Optimise weekday programming to ensure broadly-appealing, entertaining, engaging and professional radio is consistently produced</w:t>
            </w: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Review, endorse and adhere to weekday programming policy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Implement selection and review process for breakfast and drive programs that reflects their key strategic and financial importance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Review, endorse and adhere to music policy regarding weekday music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Optimise specialist programming to ensure a mix of high quality programs inform, empower and engage the diversity within our communities</w:t>
            </w: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Review, endorse and adhere to specialist programming policy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Review, endorse and adhere to music policy regarding specialist programs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Quality news and current affairs</w:t>
            </w: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Conduct induction training, regular review and development for newsreaders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Provide support for investigative and current affairs specialist programs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Support knowledge exchange, and presenter development</w:t>
            </w: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Provide induction training for broadcasting (currently 9 Taste of Radio courses)</w:t>
            </w:r>
            <w:r w:rsidR="003926FD">
              <w:rPr>
                <w:rFonts w:ascii="Calibri" w:hAnsi="Calibri"/>
              </w:rPr>
              <w:t xml:space="preserve"> and ongoing training (currently 75 sessions)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a program/presenter review and development strategy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Conduct a presenter needs analysis</w:t>
            </w:r>
          </w:p>
        </w:tc>
      </w:tr>
      <w:tr w:rsidR="005200BE" w:rsidTr="009D609C">
        <w:trPr>
          <w:trHeight w:val="30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Support and encourage presenters to exchange knowledge and good practice, </w:t>
            </w:r>
            <w:r w:rsidRPr="00B72CF9">
              <w:rPr>
                <w:rFonts w:ascii="Calibri" w:hAnsi="Calibri"/>
              </w:rPr>
              <w:lastRenderedPageBreak/>
              <w:t>including through adult extended learning modules</w:t>
            </w:r>
          </w:p>
        </w:tc>
      </w:tr>
      <w:tr w:rsidR="005200BE" w:rsidTr="009D609C">
        <w:trPr>
          <w:trHeight w:val="15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  <w:highlight w:val="green"/>
              </w:rPr>
            </w:pPr>
            <w:r w:rsidRPr="00B72CF9">
              <w:rPr>
                <w:rFonts w:ascii="Calibri" w:hAnsi="Calibri"/>
              </w:rPr>
              <w:t>Compliance</w:t>
            </w: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Manage all broadcasting complaints consistent with external frameworks and internal policies (currently 2, both resolved, and nil referrals to ACMA)</w:t>
            </w:r>
          </w:p>
        </w:tc>
      </w:tr>
      <w:tr w:rsidR="005200BE" w:rsidTr="009D609C">
        <w:trPr>
          <w:trHeight w:val="15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38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Maintain talk/music ratio within licence requirements (currently 59%)</w:t>
            </w:r>
          </w:p>
        </w:tc>
      </w:tr>
      <w:tr w:rsidR="005200BE" w:rsidTr="00B72CF9">
        <w:trPr>
          <w:trHeight w:val="150"/>
        </w:trPr>
        <w:tc>
          <w:tcPr>
            <w:tcW w:w="153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710" w:type="dxa"/>
            <w:vMerge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5200BE" w:rsidRPr="00B72CF9" w:rsidRDefault="005200BE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Finalise digital playout</w:t>
            </w:r>
          </w:p>
        </w:tc>
        <w:tc>
          <w:tcPr>
            <w:tcW w:w="3870" w:type="dxa"/>
            <w:vAlign w:val="center"/>
          </w:tcPr>
          <w:p w:rsidR="005200BE" w:rsidRPr="00B72CF9" w:rsidRDefault="005200BE" w:rsidP="0058146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Increase availability and use, across studios (currently 1), programming (weekday 31%, specialist 15%), </w:t>
            </w:r>
            <w:proofErr w:type="spellStart"/>
            <w:r w:rsidRPr="00B72CF9">
              <w:rPr>
                <w:rFonts w:ascii="Calibri" w:hAnsi="Calibri"/>
              </w:rPr>
              <w:t>traff</w:t>
            </w:r>
            <w:proofErr w:type="spellEnd"/>
            <w:r w:rsidR="00581469">
              <w:rPr>
                <w:rFonts w:ascii="Calibri" w:hAnsi="Calibri"/>
              </w:rPr>
              <w:t xml:space="preserve"> scheduling</w:t>
            </w:r>
            <w:r w:rsidRPr="00B72CF9">
              <w:rPr>
                <w:rFonts w:ascii="Calibri" w:hAnsi="Calibri"/>
              </w:rPr>
              <w:t xml:space="preserve"> </w:t>
            </w:r>
            <w:r w:rsidR="00581469">
              <w:rPr>
                <w:rFonts w:ascii="Calibri" w:hAnsi="Calibri"/>
              </w:rPr>
              <w:t xml:space="preserve">system </w:t>
            </w:r>
            <w:r w:rsidRPr="00B72CF9">
              <w:rPr>
                <w:rFonts w:ascii="Calibri" w:hAnsi="Calibri"/>
              </w:rPr>
              <w:t>(</w:t>
            </w:r>
            <w:r w:rsidR="00581469">
              <w:rPr>
                <w:rFonts w:ascii="Calibri" w:hAnsi="Calibri"/>
              </w:rPr>
              <w:t>50</w:t>
            </w:r>
            <w:r w:rsidRPr="00B72CF9">
              <w:rPr>
                <w:rFonts w:ascii="Calibri" w:hAnsi="Calibri"/>
              </w:rPr>
              <w:t>%), and music (weekday 90%).</w:t>
            </w:r>
          </w:p>
        </w:tc>
      </w:tr>
      <w:tr w:rsidR="00554ECF" w:rsidTr="009D609C">
        <w:tc>
          <w:tcPr>
            <w:tcW w:w="1530" w:type="dxa"/>
            <w:vMerge w:val="restart"/>
            <w:vAlign w:val="center"/>
          </w:tcPr>
          <w:p w:rsidR="00554ECF" w:rsidRPr="00B72CF9" w:rsidRDefault="00850A23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Achieve more people accessing our content and with increased interaction</w:t>
            </w:r>
          </w:p>
        </w:tc>
        <w:tc>
          <w:tcPr>
            <w:tcW w:w="171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Maintain and build broadcast licence approvals</w:t>
            </w: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Maintain relationship with CBAA</w:t>
            </w:r>
          </w:p>
        </w:tc>
        <w:tc>
          <w:tcPr>
            <w:tcW w:w="387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Work towards obtaining a digital licence, a metro licence, and renewing our sub-metro analogue licence</w:t>
            </w:r>
          </w:p>
        </w:tc>
      </w:tr>
      <w:tr w:rsidR="00554ECF" w:rsidTr="009D609C"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Research and campaign locally and federally</w:t>
            </w:r>
          </w:p>
        </w:tc>
        <w:tc>
          <w:tcPr>
            <w:tcW w:w="38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</w:tr>
      <w:tr w:rsidR="00554ECF" w:rsidTr="009D609C"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Increase listener engagement and feedback</w:t>
            </w:r>
          </w:p>
        </w:tc>
        <w:tc>
          <w:tcPr>
            <w:tcW w:w="297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Promote listener feedback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Conduct on-air announcements for feedback</w:t>
            </w:r>
          </w:p>
        </w:tc>
      </w:tr>
      <w:tr w:rsidR="00554ECF" w:rsidTr="009D609C"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Coordinate a system for mapping patterns in feedback</w:t>
            </w:r>
          </w:p>
        </w:tc>
      </w:tr>
      <w:tr w:rsidR="00554ECF" w:rsidTr="009D609C"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Conduct regular listener surveys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Conduct at least annually</w:t>
            </w:r>
          </w:p>
        </w:tc>
      </w:tr>
      <w:tr w:rsidR="00554ECF" w:rsidTr="009D609C">
        <w:trPr>
          <w:trHeight w:val="18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Associated media </w:t>
            </w:r>
            <w:r w:rsidR="00850A23" w:rsidRPr="00B72CF9">
              <w:rPr>
                <w:rFonts w:ascii="Calibri" w:hAnsi="Calibri"/>
              </w:rPr>
              <w:t xml:space="preserve">further </w:t>
            </w:r>
            <w:r w:rsidRPr="00B72CF9">
              <w:rPr>
                <w:rFonts w:ascii="Calibri" w:hAnsi="Calibri"/>
              </w:rPr>
              <w:t>leverage</w:t>
            </w:r>
            <w:r w:rsidR="00850A23" w:rsidRPr="00B72CF9">
              <w:rPr>
                <w:rFonts w:ascii="Calibri" w:hAnsi="Calibri"/>
              </w:rPr>
              <w:t>s</w:t>
            </w:r>
            <w:r w:rsidRPr="00B72CF9">
              <w:rPr>
                <w:rFonts w:ascii="Calibri" w:hAnsi="Calibri"/>
              </w:rPr>
              <w:t xml:space="preserve"> on-air content</w:t>
            </w: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new roles to assist program</w:t>
            </w:r>
            <w:r w:rsidR="005200BE" w:rsidRPr="00B72CF9">
              <w:rPr>
                <w:rFonts w:ascii="Calibri" w:hAnsi="Calibri"/>
              </w:rPr>
              <w:t>s</w:t>
            </w:r>
            <w:r w:rsidRPr="00B72CF9">
              <w:rPr>
                <w:rFonts w:ascii="Calibri" w:hAnsi="Calibri"/>
              </w:rPr>
              <w:t xml:space="preserve"> with associated media (off-air) functions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and support an associated media team</w:t>
            </w:r>
          </w:p>
        </w:tc>
      </w:tr>
      <w:tr w:rsidR="00554ECF" w:rsidTr="009D609C">
        <w:trPr>
          <w:trHeight w:val="18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Programs share good practice in developing online and social media presence to engage with listeners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An audit of current programs social media use, to identify and share excellence, harness new ideas and ensure quality</w:t>
            </w:r>
          </w:p>
        </w:tc>
      </w:tr>
      <w:tr w:rsidR="00554ECF" w:rsidTr="009D609C">
        <w:trPr>
          <w:trHeight w:val="18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Ensure all specialist content is accessible via podcast, and further develop great podcasting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Increase specialist content podcasted</w:t>
            </w:r>
            <w:r w:rsidR="00BE7E3E" w:rsidRPr="00B72CF9">
              <w:rPr>
                <w:rFonts w:ascii="Calibri" w:hAnsi="Calibri"/>
              </w:rPr>
              <w:t>, and develop metrics</w:t>
            </w:r>
            <w:r w:rsidRPr="00B72CF9">
              <w:rPr>
                <w:rFonts w:ascii="Calibri" w:hAnsi="Calibri"/>
              </w:rPr>
              <w:t xml:space="preserve"> (currently </w:t>
            </w:r>
            <w:r w:rsidR="00BE7E3E" w:rsidRPr="00B72CF9">
              <w:rPr>
                <w:rFonts w:ascii="Calibri" w:hAnsi="Calibri"/>
              </w:rPr>
              <w:t>approx. 25 hours per week</w:t>
            </w:r>
            <w:r w:rsidRPr="00B72CF9">
              <w:rPr>
                <w:rFonts w:ascii="Calibri" w:hAnsi="Calibri"/>
              </w:rPr>
              <w:t>)</w:t>
            </w:r>
          </w:p>
        </w:tc>
      </w:tr>
      <w:tr w:rsidR="00554ECF" w:rsidTr="009D609C">
        <w:trPr>
          <w:trHeight w:val="18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and maintain preferred provider status in podcasting apps</w:t>
            </w:r>
          </w:p>
        </w:tc>
      </w:tr>
      <w:tr w:rsidR="00554ECF" w:rsidTr="009D609C">
        <w:trPr>
          <w:trHeight w:val="18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A website that allows for easy access to content, and ongoing engagement with the station</w:t>
            </w:r>
          </w:p>
        </w:tc>
        <w:tc>
          <w:tcPr>
            <w:tcW w:w="3870" w:type="dxa"/>
            <w:vAlign w:val="center"/>
          </w:tcPr>
          <w:p w:rsidR="00554ECF" w:rsidRPr="00B72CF9" w:rsidRDefault="00B70BE7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</w:t>
            </w:r>
            <w:r w:rsidR="00554ECF" w:rsidRPr="00B72CF9">
              <w:rPr>
                <w:rFonts w:ascii="Calibri" w:hAnsi="Calibri"/>
              </w:rPr>
              <w:t xml:space="preserve">aintain </w:t>
            </w:r>
            <w:r w:rsidRPr="00B72CF9">
              <w:rPr>
                <w:rFonts w:ascii="Calibri" w:hAnsi="Calibri"/>
              </w:rPr>
              <w:t xml:space="preserve">and build </w:t>
            </w:r>
            <w:r w:rsidR="00554ECF" w:rsidRPr="00B72CF9">
              <w:rPr>
                <w:rFonts w:ascii="Calibri" w:hAnsi="Calibri"/>
              </w:rPr>
              <w:t>an effective website with updated and engaging content (</w:t>
            </w:r>
            <w:r w:rsidR="00086A05" w:rsidRPr="00B72CF9">
              <w:rPr>
                <w:rFonts w:ascii="Calibri" w:hAnsi="Calibri"/>
              </w:rPr>
              <w:t>c</w:t>
            </w:r>
            <w:r w:rsidRPr="00B72CF9">
              <w:rPr>
                <w:rFonts w:ascii="Calibri" w:hAnsi="Calibri"/>
              </w:rPr>
              <w:t>urrently reliability</w:t>
            </w:r>
            <w:r w:rsidR="00086A05" w:rsidRPr="00B72CF9">
              <w:rPr>
                <w:rFonts w:ascii="Calibri" w:hAnsi="Calibri"/>
              </w:rPr>
              <w:t xml:space="preserve"> 99.6%</w:t>
            </w:r>
            <w:r w:rsidRPr="00B72CF9">
              <w:rPr>
                <w:rFonts w:ascii="Calibri" w:hAnsi="Calibri"/>
              </w:rPr>
              <w:t>, sessions 204k, users 109k, page-views 427k, session duration 4m33s)</w:t>
            </w:r>
          </w:p>
        </w:tc>
      </w:tr>
      <w:tr w:rsidR="00554ECF" w:rsidTr="009D609C">
        <w:trPr>
          <w:trHeight w:val="18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Encourage programs to provide, and link to, website content</w:t>
            </w:r>
          </w:p>
        </w:tc>
      </w:tr>
      <w:tr w:rsidR="00554ECF" w:rsidTr="009D609C">
        <w:trPr>
          <w:trHeight w:val="9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High quality and continuous streaming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Maintain and </w:t>
            </w:r>
            <w:r w:rsidR="00086A05" w:rsidRPr="00B72CF9">
              <w:rPr>
                <w:rFonts w:ascii="Calibri" w:hAnsi="Calibri"/>
              </w:rPr>
              <w:t>improve quality and reliability</w:t>
            </w:r>
          </w:p>
        </w:tc>
      </w:tr>
      <w:tr w:rsidR="00554ECF" w:rsidTr="009D609C"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Utilise emerging technologies including apps and audio on demand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Continue to explore and develop new ways to connect with our listeners, and allow our content to be easily accessed</w:t>
            </w:r>
          </w:p>
        </w:tc>
      </w:tr>
      <w:tr w:rsidR="00554ECF" w:rsidTr="009D609C">
        <w:trPr>
          <w:trHeight w:val="200"/>
        </w:trPr>
        <w:tc>
          <w:tcPr>
            <w:tcW w:w="153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Expand audience reach</w:t>
            </w: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Melbourne (radio)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Maintain and increase unique listeners (currently 361,000 per month)</w:t>
            </w:r>
          </w:p>
        </w:tc>
      </w:tr>
      <w:tr w:rsidR="00554ECF" w:rsidTr="009D609C">
        <w:trPr>
          <w:trHeight w:val="180"/>
        </w:trPr>
        <w:tc>
          <w:tcPr>
            <w:tcW w:w="1530" w:type="dxa"/>
            <w:vMerge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Rest of Australia &amp; international (online)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Increase live listener sessions (currently </w:t>
            </w:r>
            <w:r w:rsidR="005200BE" w:rsidRPr="00B72CF9">
              <w:rPr>
                <w:rFonts w:ascii="Calibri" w:hAnsi="Calibri"/>
              </w:rPr>
              <w:t>9,000</w:t>
            </w:r>
            <w:r w:rsidR="00086A05" w:rsidRPr="00B72CF9">
              <w:rPr>
                <w:rFonts w:ascii="Calibri" w:hAnsi="Calibri"/>
              </w:rPr>
              <w:t>-</w:t>
            </w:r>
            <w:r w:rsidR="005200BE" w:rsidRPr="00B72CF9">
              <w:rPr>
                <w:rFonts w:ascii="Calibri" w:hAnsi="Calibri"/>
              </w:rPr>
              <w:t>14,000</w:t>
            </w:r>
            <w:r w:rsidRPr="00B72CF9">
              <w:rPr>
                <w:rFonts w:ascii="Calibri" w:hAnsi="Calibri"/>
              </w:rPr>
              <w:t xml:space="preserve"> per </w:t>
            </w:r>
            <w:r w:rsidR="005200BE" w:rsidRPr="00B72CF9">
              <w:rPr>
                <w:rFonts w:ascii="Calibri" w:hAnsi="Calibri"/>
              </w:rPr>
              <w:t>month</w:t>
            </w:r>
            <w:r w:rsidRPr="00B72CF9">
              <w:rPr>
                <w:rFonts w:ascii="Calibri" w:hAnsi="Calibri"/>
              </w:rPr>
              <w:t>)</w:t>
            </w:r>
          </w:p>
        </w:tc>
      </w:tr>
      <w:tr w:rsidR="00554ECF" w:rsidTr="009D609C">
        <w:trPr>
          <w:trHeight w:val="180"/>
        </w:trPr>
        <w:tc>
          <w:tcPr>
            <w:tcW w:w="1530" w:type="dxa"/>
            <w:vMerge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Merge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Increase podcasts streamed or </w:t>
            </w:r>
            <w:r w:rsidRPr="00B72CF9">
              <w:rPr>
                <w:rFonts w:ascii="Calibri" w:hAnsi="Calibri"/>
              </w:rPr>
              <w:lastRenderedPageBreak/>
              <w:t xml:space="preserve">downloaded (currently </w:t>
            </w:r>
            <w:r w:rsidR="00086A05" w:rsidRPr="00B72CF9">
              <w:rPr>
                <w:rFonts w:ascii="Calibri" w:hAnsi="Calibri"/>
              </w:rPr>
              <w:t>4,6</w:t>
            </w:r>
            <w:r w:rsidR="005200BE" w:rsidRPr="00B72CF9">
              <w:rPr>
                <w:rFonts w:ascii="Calibri" w:hAnsi="Calibri"/>
              </w:rPr>
              <w:t>00</w:t>
            </w:r>
            <w:r w:rsidRPr="00B72CF9">
              <w:rPr>
                <w:rFonts w:ascii="Calibri" w:hAnsi="Calibri"/>
              </w:rPr>
              <w:t xml:space="preserve"> per month)</w:t>
            </w:r>
          </w:p>
        </w:tc>
      </w:tr>
      <w:tr w:rsidR="00850A23" w:rsidTr="009D609C">
        <w:trPr>
          <w:trHeight w:val="806"/>
        </w:trPr>
        <w:tc>
          <w:tcPr>
            <w:tcW w:w="1530" w:type="dxa"/>
            <w:vMerge/>
          </w:tcPr>
          <w:p w:rsidR="00850A23" w:rsidRPr="00B72CF9" w:rsidRDefault="00850A23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850A23" w:rsidRPr="00B72CF9" w:rsidRDefault="00850A23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Engage more people outside of Melbourne</w:t>
            </w:r>
          </w:p>
        </w:tc>
        <w:tc>
          <w:tcPr>
            <w:tcW w:w="2970" w:type="dxa"/>
            <w:vAlign w:val="center"/>
          </w:tcPr>
          <w:p w:rsidR="00850A23" w:rsidRPr="00B72CF9" w:rsidRDefault="00850A23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Explore and leverage innovative ways of remotely producing content</w:t>
            </w:r>
          </w:p>
        </w:tc>
        <w:tc>
          <w:tcPr>
            <w:tcW w:w="3870" w:type="dxa"/>
            <w:vAlign w:val="center"/>
          </w:tcPr>
          <w:p w:rsidR="00850A23" w:rsidRPr="00B72CF9" w:rsidRDefault="00850A23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Engage volunteer contributors beyond Melbourne</w:t>
            </w:r>
          </w:p>
        </w:tc>
      </w:tr>
      <w:tr w:rsidR="00554ECF" w:rsidTr="009D609C">
        <w:trPr>
          <w:trHeight w:val="806"/>
        </w:trPr>
        <w:tc>
          <w:tcPr>
            <w:tcW w:w="1530" w:type="dxa"/>
            <w:vMerge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Engage with other media organisations</w:t>
            </w:r>
          </w:p>
        </w:tc>
        <w:tc>
          <w:tcPr>
            <w:tcW w:w="29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  <w:highlight w:val="green"/>
              </w:rPr>
            </w:pPr>
            <w:r w:rsidRPr="00B72CF9">
              <w:rPr>
                <w:rFonts w:ascii="Calibri" w:hAnsi="Calibri"/>
              </w:rPr>
              <w:t>See activities under ‘Community’</w:t>
            </w:r>
          </w:p>
        </w:tc>
        <w:tc>
          <w:tcPr>
            <w:tcW w:w="3870" w:type="dxa"/>
            <w:vAlign w:val="center"/>
          </w:tcPr>
          <w:p w:rsidR="00554ECF" w:rsidRPr="00B72CF9" w:rsidRDefault="00554ECF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See </w:t>
            </w:r>
            <w:r w:rsidR="00B72CF9">
              <w:rPr>
                <w:rFonts w:ascii="Calibri" w:hAnsi="Calibri"/>
              </w:rPr>
              <w:t>measures</w:t>
            </w:r>
            <w:r w:rsidRPr="00B72CF9">
              <w:rPr>
                <w:rFonts w:ascii="Calibri" w:hAnsi="Calibri"/>
              </w:rPr>
              <w:t xml:space="preserve"> under ‘Community’</w:t>
            </w:r>
          </w:p>
        </w:tc>
      </w:tr>
    </w:tbl>
    <w:p w:rsidR="00711E6F" w:rsidRDefault="00711E6F">
      <w:pPr>
        <w:rPr>
          <w:b/>
          <w:color w:val="D60D8C"/>
          <w:sz w:val="24"/>
        </w:rPr>
      </w:pPr>
      <w:r>
        <w:br w:type="page"/>
      </w:r>
    </w:p>
    <w:p w:rsidR="00F24BE8" w:rsidRDefault="00F24BE8" w:rsidP="00711E6F">
      <w:pPr>
        <w:pStyle w:val="Heading3"/>
      </w:pPr>
      <w:r>
        <w:lastRenderedPageBreak/>
        <w:t>Community</w:t>
      </w:r>
    </w:p>
    <w:p w:rsidR="008D5920" w:rsidRPr="00B72CF9" w:rsidRDefault="008D5920" w:rsidP="008D5920">
      <w:pPr>
        <w:rPr>
          <w:rFonts w:ascii="Calibri" w:hAnsi="Calibri"/>
        </w:rPr>
      </w:pPr>
      <w:r w:rsidRPr="00B72CF9">
        <w:rPr>
          <w:rFonts w:ascii="Calibri" w:hAnsi="Calibri"/>
        </w:rPr>
        <w:t xml:space="preserve">Dream statement: </w:t>
      </w:r>
      <w:r w:rsidR="00426BB3" w:rsidRPr="00B72CF9">
        <w:rPr>
          <w:rFonts w:ascii="Calibri" w:hAnsi="Calibri"/>
        </w:rPr>
        <w:t xml:space="preserve">To </w:t>
      </w:r>
      <w:r w:rsidR="00A25F20" w:rsidRPr="00B72CF9">
        <w:rPr>
          <w:rFonts w:ascii="Calibri" w:hAnsi="Calibri"/>
        </w:rPr>
        <w:t xml:space="preserve">nurture </w:t>
      </w:r>
      <w:r w:rsidR="00426BB3" w:rsidRPr="00B72CF9">
        <w:rPr>
          <w:rFonts w:ascii="Calibri" w:hAnsi="Calibri"/>
        </w:rPr>
        <w:t xml:space="preserve">a thriving community through </w:t>
      </w:r>
      <w:r w:rsidR="00A25F20" w:rsidRPr="00B72CF9">
        <w:rPr>
          <w:rFonts w:ascii="Calibri" w:hAnsi="Calibri"/>
        </w:rPr>
        <w:t>building relationships,</w:t>
      </w:r>
      <w:r w:rsidR="00426BB3" w:rsidRPr="00B72CF9">
        <w:rPr>
          <w:rFonts w:ascii="Calibri" w:hAnsi="Calibri"/>
        </w:rPr>
        <w:t xml:space="preserve"> providing a voice, </w:t>
      </w:r>
      <w:r w:rsidR="00A25F20" w:rsidRPr="00B72CF9">
        <w:rPr>
          <w:rFonts w:ascii="Calibri" w:hAnsi="Calibri"/>
        </w:rPr>
        <w:t>celebrating diversity</w:t>
      </w:r>
      <w:r w:rsidR="0094586A" w:rsidRPr="00B72CF9">
        <w:rPr>
          <w:rFonts w:ascii="Calibri" w:hAnsi="Calibri"/>
        </w:rPr>
        <w:t>, and encouraging support for the station’s sustainability</w:t>
      </w:r>
      <w:r w:rsidR="00426BB3" w:rsidRPr="00B72CF9">
        <w:rPr>
          <w:rFonts w:ascii="Calibri" w:hAnsi="Calibri"/>
        </w:rPr>
        <w:t>.</w:t>
      </w:r>
    </w:p>
    <w:tbl>
      <w:tblPr>
        <w:tblStyle w:val="TableGrid"/>
        <w:tblW w:w="9990" w:type="dxa"/>
        <w:tblInd w:w="-342" w:type="dxa"/>
        <w:tblBorders>
          <w:top w:val="single" w:sz="4" w:space="0" w:color="D60D8C"/>
          <w:left w:val="single" w:sz="4" w:space="0" w:color="D60D8C"/>
          <w:bottom w:val="single" w:sz="4" w:space="0" w:color="D60D8C"/>
          <w:right w:val="single" w:sz="4" w:space="0" w:color="D60D8C"/>
          <w:insideH w:val="single" w:sz="4" w:space="0" w:color="D60D8C"/>
          <w:insideV w:val="single" w:sz="4" w:space="0" w:color="D60D8C"/>
        </w:tblBorders>
        <w:tblLook w:val="04A0" w:firstRow="1" w:lastRow="0" w:firstColumn="1" w:lastColumn="0" w:noHBand="0" w:noVBand="1"/>
      </w:tblPr>
      <w:tblGrid>
        <w:gridCol w:w="1440"/>
        <w:gridCol w:w="1710"/>
        <w:gridCol w:w="2970"/>
        <w:gridCol w:w="3870"/>
      </w:tblGrid>
      <w:tr w:rsidR="0094586A" w:rsidTr="0094586A">
        <w:tc>
          <w:tcPr>
            <w:tcW w:w="1440" w:type="dxa"/>
            <w:shd w:val="clear" w:color="auto" w:fill="DAEEF3" w:themeFill="accent5" w:themeFillTint="33"/>
          </w:tcPr>
          <w:p w:rsidR="0094586A" w:rsidRPr="008D5920" w:rsidRDefault="00115890" w:rsidP="00D91B19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Goals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94586A" w:rsidRPr="00AB3E57" w:rsidRDefault="0094586A" w:rsidP="00D91B19">
            <w:pPr>
              <w:rPr>
                <w:b/>
                <w:color w:val="005BAB"/>
              </w:rPr>
            </w:pPr>
            <w:r w:rsidRPr="00AB3E57">
              <w:rPr>
                <w:b/>
                <w:color w:val="005BAB"/>
              </w:rPr>
              <w:t>Strategies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94586A" w:rsidRPr="00AB3E57" w:rsidRDefault="0094586A" w:rsidP="00D91B19">
            <w:pPr>
              <w:rPr>
                <w:b/>
                <w:color w:val="005BAB"/>
              </w:rPr>
            </w:pPr>
            <w:r w:rsidRPr="00AB3E57">
              <w:rPr>
                <w:b/>
                <w:color w:val="005BAB"/>
              </w:rPr>
              <w:t>Activities</w:t>
            </w:r>
          </w:p>
        </w:tc>
        <w:tc>
          <w:tcPr>
            <w:tcW w:w="3870" w:type="dxa"/>
            <w:shd w:val="clear" w:color="auto" w:fill="DAEEF3" w:themeFill="accent5" w:themeFillTint="33"/>
          </w:tcPr>
          <w:p w:rsidR="0094586A" w:rsidRPr="00AB3E57" w:rsidRDefault="00115890" w:rsidP="00D91B19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Measures</w:t>
            </w:r>
          </w:p>
        </w:tc>
      </w:tr>
      <w:tr w:rsidR="006D5C62" w:rsidTr="000F617A">
        <w:trPr>
          <w:trHeight w:val="130"/>
        </w:trPr>
        <w:tc>
          <w:tcPr>
            <w:tcW w:w="1440" w:type="dxa"/>
            <w:vMerge w:val="restart"/>
            <w:vAlign w:val="center"/>
          </w:tcPr>
          <w:p w:rsidR="006D5C62" w:rsidRPr="00B72CF9" w:rsidRDefault="006D5C62" w:rsidP="0023411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Provide a voice and build community</w:t>
            </w:r>
          </w:p>
        </w:tc>
        <w:tc>
          <w:tcPr>
            <w:tcW w:w="1710" w:type="dxa"/>
            <w:vMerge w:val="restart"/>
            <w:vAlign w:val="center"/>
          </w:tcPr>
          <w:p w:rsidR="006D5C62" w:rsidRPr="00B72CF9" w:rsidRDefault="006D5C62" w:rsidP="0023411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Engage with community organisations and partners</w:t>
            </w:r>
          </w:p>
        </w:tc>
        <w:tc>
          <w:tcPr>
            <w:tcW w:w="2970" w:type="dxa"/>
            <w:vAlign w:val="center"/>
          </w:tcPr>
          <w:p w:rsidR="006D5C62" w:rsidRPr="00B72CF9" w:rsidRDefault="006D5C62" w:rsidP="00AA6B7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Encourage GLBTIQ community organisations to present on-air content and programs</w:t>
            </w:r>
          </w:p>
        </w:tc>
        <w:tc>
          <w:tcPr>
            <w:tcW w:w="3870" w:type="dxa"/>
            <w:vAlign w:val="center"/>
          </w:tcPr>
          <w:p w:rsidR="006D5C62" w:rsidRPr="00B72CF9" w:rsidRDefault="00A22229" w:rsidP="00BE7E3E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Increase number of </w:t>
            </w:r>
            <w:r w:rsidR="006D5C62" w:rsidRPr="00B72CF9">
              <w:rPr>
                <w:rFonts w:ascii="Calibri" w:hAnsi="Calibri"/>
              </w:rPr>
              <w:t>programs produced by GLBTIQ community organisations (</w:t>
            </w:r>
            <w:r w:rsidRPr="00B72CF9">
              <w:rPr>
                <w:rFonts w:ascii="Calibri" w:hAnsi="Calibri"/>
              </w:rPr>
              <w:t xml:space="preserve">currently </w:t>
            </w:r>
            <w:r w:rsidR="00BE7E3E" w:rsidRPr="00B72CF9">
              <w:rPr>
                <w:rFonts w:ascii="Calibri" w:hAnsi="Calibri"/>
              </w:rPr>
              <w:t>1</w:t>
            </w:r>
            <w:r w:rsidR="006D5C62" w:rsidRPr="00B72CF9">
              <w:rPr>
                <w:rFonts w:ascii="Calibri" w:hAnsi="Calibri"/>
              </w:rPr>
              <w:t>)</w:t>
            </w:r>
          </w:p>
        </w:tc>
      </w:tr>
      <w:tr w:rsidR="006D5C62" w:rsidTr="000F617A">
        <w:trPr>
          <w:trHeight w:val="130"/>
        </w:trPr>
        <w:tc>
          <w:tcPr>
            <w:tcW w:w="1440" w:type="dxa"/>
            <w:vMerge/>
            <w:vAlign w:val="center"/>
          </w:tcPr>
          <w:p w:rsidR="006D5C62" w:rsidRPr="00B72CF9" w:rsidRDefault="006D5C62" w:rsidP="0023411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23411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3C593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Promote awareness of other GLBTIQ community organisations</w:t>
            </w:r>
          </w:p>
        </w:tc>
        <w:tc>
          <w:tcPr>
            <w:tcW w:w="3870" w:type="dxa"/>
            <w:vAlign w:val="center"/>
          </w:tcPr>
          <w:p w:rsidR="006D5C62" w:rsidRPr="00B72CF9" w:rsidRDefault="006D5C62" w:rsidP="00AA6B7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Document the impact of the current Community Service Announcements, and promote to new organisations</w:t>
            </w:r>
          </w:p>
        </w:tc>
      </w:tr>
      <w:tr w:rsidR="006D5C62" w:rsidTr="000F617A">
        <w:trPr>
          <w:trHeight w:val="17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94586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Explore innovative partnerships, both community and corporate</w:t>
            </w:r>
          </w:p>
        </w:tc>
        <w:tc>
          <w:tcPr>
            <w:tcW w:w="3870" w:type="dxa"/>
            <w:vAlign w:val="center"/>
          </w:tcPr>
          <w:p w:rsidR="006D5C62" w:rsidRPr="00B72CF9" w:rsidRDefault="006D5C62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Document current and explore further partnerships</w:t>
            </w:r>
          </w:p>
        </w:tc>
      </w:tr>
      <w:tr w:rsidR="006D5C62" w:rsidTr="000F617A">
        <w:trPr>
          <w:trHeight w:val="17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A22229" w:rsidP="0094586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Strengthen </w:t>
            </w:r>
            <w:r w:rsidR="006D5C62" w:rsidRPr="00B72CF9">
              <w:rPr>
                <w:rFonts w:ascii="Calibri" w:hAnsi="Calibri"/>
              </w:rPr>
              <w:t>relationships with key GLBTIQ community partners</w:t>
            </w:r>
          </w:p>
        </w:tc>
        <w:tc>
          <w:tcPr>
            <w:tcW w:w="3870" w:type="dxa"/>
            <w:vAlign w:val="center"/>
          </w:tcPr>
          <w:p w:rsidR="006D5C62" w:rsidRPr="00B72CF9" w:rsidRDefault="00A22229" w:rsidP="00A2222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Document current and explore further strategic alliances</w:t>
            </w:r>
          </w:p>
        </w:tc>
      </w:tr>
      <w:tr w:rsidR="006D5C62" w:rsidTr="000F617A">
        <w:trPr>
          <w:trHeight w:val="30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D5C62" w:rsidRPr="00B72CF9" w:rsidRDefault="006D5C62" w:rsidP="00426BB3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Be seen and heard in the</w:t>
            </w:r>
            <w:r w:rsidR="00A22229" w:rsidRPr="00B72CF9">
              <w:rPr>
                <w:rFonts w:ascii="Calibri" w:hAnsi="Calibri"/>
              </w:rPr>
              <w:t xml:space="preserve"> GLBTIQ</w:t>
            </w:r>
            <w:r w:rsidRPr="00B72CF9">
              <w:rPr>
                <w:rFonts w:ascii="Calibri" w:hAnsi="Calibri"/>
              </w:rPr>
              <w:t xml:space="preserve"> community</w:t>
            </w:r>
          </w:p>
        </w:tc>
        <w:tc>
          <w:tcPr>
            <w:tcW w:w="2970" w:type="dxa"/>
            <w:vAlign w:val="center"/>
          </w:tcPr>
          <w:p w:rsidR="006D5C62" w:rsidRPr="00B72CF9" w:rsidRDefault="00A22229" w:rsidP="003C593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Maintain and b</w:t>
            </w:r>
            <w:r w:rsidR="006D5C62" w:rsidRPr="00B72CF9">
              <w:rPr>
                <w:rFonts w:ascii="Calibri" w:hAnsi="Calibri"/>
              </w:rPr>
              <w:t>uild networking</w:t>
            </w:r>
          </w:p>
        </w:tc>
        <w:tc>
          <w:tcPr>
            <w:tcW w:w="3870" w:type="dxa"/>
            <w:vAlign w:val="center"/>
          </w:tcPr>
          <w:p w:rsidR="006D5C62" w:rsidRPr="00B72CF9" w:rsidRDefault="006D5C62" w:rsidP="00A2222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JOY rep</w:t>
            </w:r>
            <w:r w:rsidR="00A22229" w:rsidRPr="00B72CF9">
              <w:rPr>
                <w:rFonts w:ascii="Calibri" w:hAnsi="Calibri"/>
              </w:rPr>
              <w:t>resentative</w:t>
            </w:r>
            <w:r w:rsidRPr="00B72CF9">
              <w:rPr>
                <w:rFonts w:ascii="Calibri" w:hAnsi="Calibri"/>
              </w:rPr>
              <w:t>s to continue attending networks &amp; events</w:t>
            </w:r>
          </w:p>
        </w:tc>
      </w:tr>
      <w:tr w:rsidR="006D5C62" w:rsidTr="000F617A">
        <w:trPr>
          <w:trHeight w:val="30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A22229" w:rsidP="00A2222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Maintain and build community presence</w:t>
            </w:r>
          </w:p>
        </w:tc>
        <w:tc>
          <w:tcPr>
            <w:tcW w:w="3870" w:type="dxa"/>
            <w:vAlign w:val="center"/>
          </w:tcPr>
          <w:p w:rsidR="006D5C62" w:rsidRPr="00B72CF9" w:rsidRDefault="00A22229" w:rsidP="0093033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Maintain representation at key community events, including </w:t>
            </w:r>
            <w:r w:rsidR="006D5C62" w:rsidRPr="00B72CF9">
              <w:rPr>
                <w:rFonts w:ascii="Calibri" w:hAnsi="Calibri"/>
              </w:rPr>
              <w:t>outside broadca</w:t>
            </w:r>
            <w:r w:rsidRPr="00B72CF9">
              <w:rPr>
                <w:rFonts w:ascii="Calibri" w:hAnsi="Calibri"/>
              </w:rPr>
              <w:t xml:space="preserve">sts (currently </w:t>
            </w:r>
            <w:r w:rsidR="00930334">
              <w:rPr>
                <w:rFonts w:ascii="Calibri" w:hAnsi="Calibri"/>
              </w:rPr>
              <w:t>9</w:t>
            </w:r>
            <w:r w:rsidRPr="00B72CF9">
              <w:rPr>
                <w:rFonts w:ascii="Calibri" w:hAnsi="Calibri"/>
              </w:rPr>
              <w:t>)</w:t>
            </w:r>
          </w:p>
        </w:tc>
      </w:tr>
      <w:tr w:rsidR="006D5C62" w:rsidTr="000F617A">
        <w:trPr>
          <w:trHeight w:val="55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Lead and capacity-build</w:t>
            </w:r>
          </w:p>
        </w:tc>
        <w:tc>
          <w:tcPr>
            <w:tcW w:w="2970" w:type="dxa"/>
            <w:vAlign w:val="center"/>
          </w:tcPr>
          <w:p w:rsidR="006D5C62" w:rsidRPr="00B72CF9" w:rsidRDefault="006D5C62" w:rsidP="003C593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Lead advocacy</w:t>
            </w:r>
          </w:p>
        </w:tc>
        <w:tc>
          <w:tcPr>
            <w:tcW w:w="3870" w:type="dxa"/>
            <w:vAlign w:val="center"/>
          </w:tcPr>
          <w:p w:rsidR="006D5C62" w:rsidRPr="00B72CF9" w:rsidRDefault="006D5C62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Identify under-represented segments of the GLBTIQ community and initiate affirmative action to encourage greater engagement</w:t>
            </w:r>
          </w:p>
        </w:tc>
      </w:tr>
      <w:tr w:rsidR="006D5C62" w:rsidTr="000F617A">
        <w:trPr>
          <w:trHeight w:val="31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3C593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access and training</w:t>
            </w:r>
          </w:p>
        </w:tc>
        <w:tc>
          <w:tcPr>
            <w:tcW w:w="3870" w:type="dxa"/>
            <w:vAlign w:val="center"/>
          </w:tcPr>
          <w:p w:rsidR="006D5C62" w:rsidRPr="00B72CF9" w:rsidRDefault="00A22229" w:rsidP="0092533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Provide greater support to grow participation of people from </w:t>
            </w:r>
            <w:r w:rsidR="006D5C62" w:rsidRPr="00B72CF9">
              <w:rPr>
                <w:rFonts w:ascii="Calibri" w:hAnsi="Calibri"/>
              </w:rPr>
              <w:t>target cohorts listed under ‘need’</w:t>
            </w:r>
            <w:r w:rsidR="00086A05" w:rsidRPr="00B72CF9">
              <w:rPr>
                <w:rFonts w:ascii="Calibri" w:hAnsi="Calibri"/>
              </w:rPr>
              <w:t xml:space="preserve">. </w:t>
            </w:r>
            <w:r w:rsidR="00B72CF9">
              <w:rPr>
                <w:rFonts w:ascii="Calibri" w:hAnsi="Calibri"/>
              </w:rPr>
              <w:t>Increase grant</w:t>
            </w:r>
            <w:r w:rsidR="005200BE" w:rsidRPr="00B72CF9">
              <w:rPr>
                <w:rFonts w:ascii="Calibri" w:hAnsi="Calibri"/>
              </w:rPr>
              <w:t xml:space="preserve"> funded revenue and projects (</w:t>
            </w:r>
            <w:r w:rsidR="005200BE" w:rsidRPr="0092533B">
              <w:rPr>
                <w:rFonts w:ascii="Calibri" w:hAnsi="Calibri"/>
              </w:rPr>
              <w:t>currently $</w:t>
            </w:r>
            <w:r w:rsidR="0092533B" w:rsidRPr="0092533B">
              <w:rPr>
                <w:rFonts w:ascii="Calibri" w:hAnsi="Calibri"/>
              </w:rPr>
              <w:t>42</w:t>
            </w:r>
            <w:r w:rsidR="0092533B">
              <w:rPr>
                <w:rFonts w:ascii="Calibri" w:hAnsi="Calibri"/>
              </w:rPr>
              <w:t>k</w:t>
            </w:r>
            <w:r w:rsidR="005200BE" w:rsidRPr="0092533B">
              <w:rPr>
                <w:rFonts w:ascii="Calibri" w:hAnsi="Calibri"/>
              </w:rPr>
              <w:t>)</w:t>
            </w:r>
          </w:p>
        </w:tc>
      </w:tr>
      <w:tr w:rsidR="006D5C62" w:rsidTr="006D5C62">
        <w:trPr>
          <w:trHeight w:val="31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D5C62" w:rsidRPr="00B72CF9" w:rsidRDefault="006D5C62" w:rsidP="006D5C62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Engage with other media organisations (shared with “Radio” pillar)</w:t>
            </w:r>
          </w:p>
        </w:tc>
        <w:tc>
          <w:tcPr>
            <w:tcW w:w="2970" w:type="dxa"/>
            <w:vAlign w:val="center"/>
          </w:tcPr>
          <w:p w:rsidR="006D5C62" w:rsidRPr="00B72CF9" w:rsidRDefault="006D5C62" w:rsidP="006D5C62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partnerships with other radio stations and media organisations</w:t>
            </w:r>
          </w:p>
        </w:tc>
        <w:tc>
          <w:tcPr>
            <w:tcW w:w="3870" w:type="dxa"/>
            <w:vAlign w:val="center"/>
          </w:tcPr>
          <w:p w:rsidR="006D5C62" w:rsidRPr="00B72CF9" w:rsidRDefault="00972714" w:rsidP="0093033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Improve p</w:t>
            </w:r>
            <w:r w:rsidR="006D5C62" w:rsidRPr="00B72CF9">
              <w:rPr>
                <w:rFonts w:ascii="Calibri" w:hAnsi="Calibri"/>
              </w:rPr>
              <w:t xml:space="preserve">artnerships with other organisations locally </w:t>
            </w:r>
            <w:r w:rsidRPr="00B72CF9">
              <w:rPr>
                <w:rFonts w:ascii="Calibri" w:hAnsi="Calibri"/>
              </w:rPr>
              <w:t xml:space="preserve">and </w:t>
            </w:r>
            <w:r w:rsidR="006D5C62" w:rsidRPr="00B72CF9">
              <w:rPr>
                <w:rFonts w:ascii="Calibri" w:hAnsi="Calibri"/>
              </w:rPr>
              <w:t>globally to regularly share content</w:t>
            </w:r>
            <w:r w:rsidRPr="00B72CF9">
              <w:rPr>
                <w:rFonts w:ascii="Calibri" w:hAnsi="Calibri"/>
              </w:rPr>
              <w:t xml:space="preserve"> and co-lead </w:t>
            </w:r>
            <w:r w:rsidR="006D5C62" w:rsidRPr="00B72CF9">
              <w:rPr>
                <w:rFonts w:ascii="Calibri" w:hAnsi="Calibri"/>
              </w:rPr>
              <w:t>collaboration projects</w:t>
            </w:r>
            <w:r w:rsidRPr="00B72CF9">
              <w:rPr>
                <w:rFonts w:ascii="Calibri" w:hAnsi="Calibri"/>
              </w:rPr>
              <w:t xml:space="preserve"> (currently </w:t>
            </w:r>
            <w:r w:rsidR="00930334">
              <w:rPr>
                <w:rFonts w:ascii="Calibri" w:hAnsi="Calibri"/>
              </w:rPr>
              <w:t>7</w:t>
            </w:r>
            <w:r w:rsidRPr="00B72CF9">
              <w:rPr>
                <w:rFonts w:ascii="Calibri" w:hAnsi="Calibri"/>
              </w:rPr>
              <w:t>)</w:t>
            </w:r>
          </w:p>
        </w:tc>
      </w:tr>
      <w:tr w:rsidR="006D5C62" w:rsidTr="006D5C62">
        <w:trPr>
          <w:trHeight w:val="31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87DA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6D5C62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Export content for use by other radio stations and credited to JOY</w:t>
            </w:r>
          </w:p>
        </w:tc>
        <w:tc>
          <w:tcPr>
            <w:tcW w:w="3870" w:type="dxa"/>
            <w:vAlign w:val="center"/>
          </w:tcPr>
          <w:p w:rsidR="006D5C62" w:rsidRPr="00B72CF9" w:rsidRDefault="00972714" w:rsidP="0097271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Maintain and increase number of </w:t>
            </w:r>
            <w:r w:rsidR="006D5C62" w:rsidRPr="00B72CF9">
              <w:rPr>
                <w:rFonts w:ascii="Calibri" w:hAnsi="Calibri"/>
              </w:rPr>
              <w:t xml:space="preserve">programs </w:t>
            </w:r>
            <w:r w:rsidRPr="00B72CF9">
              <w:rPr>
                <w:rFonts w:ascii="Calibri" w:hAnsi="Calibri"/>
              </w:rPr>
              <w:t xml:space="preserve">distributed via </w:t>
            </w:r>
            <w:r w:rsidR="006D5C62" w:rsidRPr="00B72CF9">
              <w:rPr>
                <w:rFonts w:ascii="Calibri" w:hAnsi="Calibri"/>
              </w:rPr>
              <w:t>the Community Radio Network (</w:t>
            </w:r>
            <w:r w:rsidRPr="00B72CF9">
              <w:rPr>
                <w:rFonts w:ascii="Calibri" w:hAnsi="Calibri"/>
              </w:rPr>
              <w:t>currently 3</w:t>
            </w:r>
            <w:r w:rsidR="006D5C62" w:rsidRPr="00B72CF9">
              <w:rPr>
                <w:rFonts w:ascii="Calibri" w:hAnsi="Calibri"/>
              </w:rPr>
              <w:t xml:space="preserve">). </w:t>
            </w:r>
            <w:r w:rsidRPr="00B72CF9">
              <w:rPr>
                <w:rFonts w:ascii="Calibri" w:hAnsi="Calibri"/>
              </w:rPr>
              <w:t>D</w:t>
            </w:r>
            <w:r w:rsidR="006D5C62" w:rsidRPr="00B72CF9">
              <w:rPr>
                <w:rFonts w:ascii="Calibri" w:hAnsi="Calibri"/>
              </w:rPr>
              <w:t>evelop strategy for increasing use by more stations.</w:t>
            </w:r>
          </w:p>
        </w:tc>
      </w:tr>
      <w:tr w:rsidR="006D5C62" w:rsidTr="000F617A">
        <w:trPr>
          <w:trHeight w:val="130"/>
        </w:trPr>
        <w:tc>
          <w:tcPr>
            <w:tcW w:w="1440" w:type="dxa"/>
            <w:vMerge w:val="restart"/>
            <w:vAlign w:val="center"/>
          </w:tcPr>
          <w:p w:rsidR="006D5C62" w:rsidRPr="00B72CF9" w:rsidRDefault="006D5C62" w:rsidP="00A25F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Celebrate ourselves, our community and our supporters, to nurture further community support</w:t>
            </w:r>
          </w:p>
        </w:tc>
        <w:tc>
          <w:tcPr>
            <w:tcW w:w="1710" w:type="dxa"/>
            <w:vMerge w:val="restart"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Increase listener engagement and feedback</w:t>
            </w:r>
          </w:p>
        </w:tc>
        <w:tc>
          <w:tcPr>
            <w:tcW w:w="2970" w:type="dxa"/>
            <w:vAlign w:val="center"/>
          </w:tcPr>
          <w:p w:rsidR="006D5C62" w:rsidRPr="00B72CF9" w:rsidRDefault="006D5C62" w:rsidP="003C5935">
            <w:pPr>
              <w:rPr>
                <w:rFonts w:ascii="Calibri" w:hAnsi="Calibri"/>
                <w:highlight w:val="green"/>
              </w:rPr>
            </w:pPr>
            <w:r w:rsidRPr="00B72CF9">
              <w:rPr>
                <w:rFonts w:ascii="Calibri" w:hAnsi="Calibri"/>
              </w:rPr>
              <w:t>See activities under ‘Radio and associated media’</w:t>
            </w:r>
          </w:p>
        </w:tc>
        <w:tc>
          <w:tcPr>
            <w:tcW w:w="3870" w:type="dxa"/>
            <w:vAlign w:val="center"/>
          </w:tcPr>
          <w:p w:rsidR="006D5C62" w:rsidRPr="00B72CF9" w:rsidRDefault="006D5C62" w:rsidP="00B72CF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See </w:t>
            </w:r>
            <w:r w:rsidR="00B72CF9">
              <w:rPr>
                <w:rFonts w:ascii="Calibri" w:hAnsi="Calibri"/>
              </w:rPr>
              <w:t xml:space="preserve">measures </w:t>
            </w:r>
            <w:r w:rsidRPr="00B72CF9">
              <w:rPr>
                <w:rFonts w:ascii="Calibri" w:hAnsi="Calibri"/>
              </w:rPr>
              <w:t>under ‘Radio and associated media’</w:t>
            </w:r>
          </w:p>
        </w:tc>
      </w:tr>
      <w:tr w:rsidR="006D5C62" w:rsidTr="000F617A">
        <w:trPr>
          <w:trHeight w:val="13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C5326F">
            <w:pPr>
              <w:rPr>
                <w:rFonts w:ascii="Calibri" w:hAnsi="Calibri"/>
                <w:highlight w:val="green"/>
              </w:rPr>
            </w:pPr>
            <w:r w:rsidRPr="00B72CF9">
              <w:rPr>
                <w:rFonts w:ascii="Calibri" w:hAnsi="Calibri"/>
              </w:rPr>
              <w:t>Investigate, trial and establish subscriber model that complements membership (e.g. podcast or program based)</w:t>
            </w:r>
          </w:p>
        </w:tc>
        <w:tc>
          <w:tcPr>
            <w:tcW w:w="3870" w:type="dxa"/>
            <w:vAlign w:val="center"/>
          </w:tcPr>
          <w:p w:rsidR="006D5C62" w:rsidRPr="00B72CF9" w:rsidRDefault="006D5C62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Revenue built from listeners that complements membership revenue  </w:t>
            </w:r>
          </w:p>
        </w:tc>
      </w:tr>
      <w:tr w:rsidR="006D5C62" w:rsidTr="000F617A">
        <w:trPr>
          <w:trHeight w:val="22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Engage with members</w:t>
            </w:r>
          </w:p>
        </w:tc>
        <w:tc>
          <w:tcPr>
            <w:tcW w:w="2970" w:type="dxa"/>
            <w:vAlign w:val="center"/>
          </w:tcPr>
          <w:p w:rsidR="006D5C62" w:rsidRPr="00B72CF9" w:rsidRDefault="00972714" w:rsidP="0097271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Expand </w:t>
            </w:r>
            <w:r w:rsidR="006D5C62" w:rsidRPr="00B72CF9">
              <w:rPr>
                <w:rFonts w:ascii="Calibri" w:hAnsi="Calibri"/>
              </w:rPr>
              <w:t>member benefits</w:t>
            </w:r>
          </w:p>
        </w:tc>
        <w:tc>
          <w:tcPr>
            <w:tcW w:w="3870" w:type="dxa"/>
            <w:vAlign w:val="center"/>
          </w:tcPr>
          <w:p w:rsidR="006D5C62" w:rsidRPr="00B72CF9" w:rsidRDefault="006D5C62" w:rsidP="00086A0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Review membership data, </w:t>
            </w:r>
            <w:r w:rsidR="00972714" w:rsidRPr="00B72CF9">
              <w:rPr>
                <w:rFonts w:ascii="Calibri" w:hAnsi="Calibri"/>
              </w:rPr>
              <w:t xml:space="preserve">and </w:t>
            </w:r>
            <w:r w:rsidRPr="00B72CF9">
              <w:rPr>
                <w:rFonts w:ascii="Calibri" w:hAnsi="Calibri"/>
              </w:rPr>
              <w:t xml:space="preserve">undertake a needs </w:t>
            </w:r>
            <w:r w:rsidR="00972714" w:rsidRPr="00B72CF9">
              <w:rPr>
                <w:rFonts w:ascii="Calibri" w:hAnsi="Calibri"/>
              </w:rPr>
              <w:t>and ‘value proposition’ analysis. Maintain prizes pool (</w:t>
            </w:r>
            <w:r w:rsidR="00086A05" w:rsidRPr="00B72CF9">
              <w:rPr>
                <w:rFonts w:ascii="Calibri" w:hAnsi="Calibri"/>
              </w:rPr>
              <w:t>c</w:t>
            </w:r>
            <w:r w:rsidR="00B70BE7" w:rsidRPr="00B72CF9">
              <w:rPr>
                <w:rFonts w:ascii="Calibri" w:hAnsi="Calibri"/>
              </w:rPr>
              <w:t xml:space="preserve">urrently </w:t>
            </w:r>
            <w:r w:rsidR="0087385F" w:rsidRPr="00B72CF9">
              <w:rPr>
                <w:rFonts w:ascii="Calibri" w:hAnsi="Calibri"/>
              </w:rPr>
              <w:t>1317 prizes</w:t>
            </w:r>
            <w:r w:rsidR="00086A05" w:rsidRPr="00B72CF9">
              <w:rPr>
                <w:rFonts w:ascii="Calibri" w:hAnsi="Calibri"/>
              </w:rPr>
              <w:t xml:space="preserve"> worth $89k</w:t>
            </w:r>
            <w:r w:rsidR="00972714" w:rsidRPr="00B72CF9">
              <w:rPr>
                <w:rFonts w:ascii="Calibri" w:hAnsi="Calibri"/>
              </w:rPr>
              <w:t>)</w:t>
            </w:r>
          </w:p>
        </w:tc>
      </w:tr>
      <w:tr w:rsidR="006D5C62" w:rsidTr="000F617A">
        <w:trPr>
          <w:trHeight w:val="12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2A62E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communication and relationship, including phone drives to thank and re-sign lapsed members</w:t>
            </w:r>
          </w:p>
        </w:tc>
        <w:tc>
          <w:tcPr>
            <w:tcW w:w="3870" w:type="dxa"/>
            <w:vAlign w:val="center"/>
          </w:tcPr>
          <w:p w:rsidR="006D5C62" w:rsidRPr="00B72CF9" w:rsidRDefault="00972714" w:rsidP="0092533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and implement an engagement strategy for m</w:t>
            </w:r>
            <w:r w:rsidR="006D5C62" w:rsidRPr="00B72CF9">
              <w:rPr>
                <w:rFonts w:ascii="Calibri" w:hAnsi="Calibri"/>
              </w:rPr>
              <w:t>ember</w:t>
            </w:r>
            <w:r w:rsidRPr="00B72CF9">
              <w:rPr>
                <w:rFonts w:ascii="Calibri" w:hAnsi="Calibri"/>
              </w:rPr>
              <w:t>s</w:t>
            </w:r>
            <w:r w:rsidR="006D5C62" w:rsidRPr="00B72CF9">
              <w:rPr>
                <w:rFonts w:ascii="Calibri" w:hAnsi="Calibri"/>
              </w:rPr>
              <w:t xml:space="preserve">. </w:t>
            </w:r>
            <w:r w:rsidRPr="00B72CF9">
              <w:rPr>
                <w:rFonts w:ascii="Calibri" w:hAnsi="Calibri"/>
              </w:rPr>
              <w:t>Increase m</w:t>
            </w:r>
            <w:r w:rsidR="006D5C62" w:rsidRPr="00B72CF9">
              <w:rPr>
                <w:rFonts w:ascii="Calibri" w:hAnsi="Calibri"/>
              </w:rPr>
              <w:t xml:space="preserve">embership </w:t>
            </w:r>
            <w:r w:rsidR="00BE7E3E" w:rsidRPr="00B72CF9">
              <w:rPr>
                <w:rFonts w:ascii="Calibri" w:hAnsi="Calibri"/>
              </w:rPr>
              <w:t xml:space="preserve">levels and </w:t>
            </w:r>
            <w:r w:rsidRPr="00B72CF9">
              <w:rPr>
                <w:rFonts w:ascii="Calibri" w:hAnsi="Calibri"/>
              </w:rPr>
              <w:t xml:space="preserve">revenue (currently </w:t>
            </w:r>
            <w:r w:rsidR="00BE7E3E" w:rsidRPr="00B72CF9">
              <w:rPr>
                <w:rFonts w:ascii="Calibri" w:hAnsi="Calibri"/>
              </w:rPr>
              <w:t>2164 memberships,</w:t>
            </w:r>
            <w:r w:rsidR="0092533B">
              <w:rPr>
                <w:rFonts w:ascii="Calibri" w:hAnsi="Calibri"/>
              </w:rPr>
              <w:t xml:space="preserve"> $109k</w:t>
            </w:r>
            <w:r w:rsidRPr="00B72CF9">
              <w:rPr>
                <w:rFonts w:ascii="Calibri" w:hAnsi="Calibri"/>
              </w:rPr>
              <w:t>)</w:t>
            </w:r>
          </w:p>
        </w:tc>
      </w:tr>
      <w:tr w:rsidR="006D5C62" w:rsidTr="000F617A">
        <w:trPr>
          <w:trHeight w:val="12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2A62E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Continue Salesforce integration, including option for automatic renewal</w:t>
            </w:r>
          </w:p>
        </w:tc>
        <w:tc>
          <w:tcPr>
            <w:tcW w:w="3870" w:type="dxa"/>
            <w:vAlign w:val="center"/>
          </w:tcPr>
          <w:p w:rsidR="006D5C62" w:rsidRPr="00B72CF9" w:rsidRDefault="00972714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f</w:t>
            </w:r>
            <w:r w:rsidR="006D5C62" w:rsidRPr="00B72CF9">
              <w:rPr>
                <w:rFonts w:ascii="Calibri" w:hAnsi="Calibri"/>
              </w:rPr>
              <w:t>unctionality for automatic renewal</w:t>
            </w:r>
          </w:p>
        </w:tc>
      </w:tr>
      <w:tr w:rsidR="006D5C62" w:rsidTr="000F617A">
        <w:trPr>
          <w:trHeight w:val="12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3C593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Hold member-only events and forums</w:t>
            </w:r>
          </w:p>
        </w:tc>
        <w:tc>
          <w:tcPr>
            <w:tcW w:w="3870" w:type="dxa"/>
            <w:vAlign w:val="center"/>
          </w:tcPr>
          <w:p w:rsidR="006D5C62" w:rsidRPr="00B72CF9" w:rsidRDefault="00972714" w:rsidP="001F510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Increas</w:t>
            </w:r>
            <w:r w:rsidR="0092533B">
              <w:rPr>
                <w:rFonts w:ascii="Calibri" w:hAnsi="Calibri"/>
              </w:rPr>
              <w:t>e number of members-only events</w:t>
            </w:r>
          </w:p>
        </w:tc>
      </w:tr>
      <w:tr w:rsidR="006D5C62" w:rsidTr="000F617A">
        <w:trPr>
          <w:trHeight w:val="32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Engage with sponsors</w:t>
            </w:r>
          </w:p>
        </w:tc>
        <w:tc>
          <w:tcPr>
            <w:tcW w:w="2970" w:type="dxa"/>
            <w:vAlign w:val="center"/>
          </w:tcPr>
          <w:p w:rsidR="006D5C62" w:rsidRPr="00B72CF9" w:rsidRDefault="006D5C62" w:rsidP="003C593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communication and relationship, including with large corporate sponsors</w:t>
            </w:r>
          </w:p>
        </w:tc>
        <w:tc>
          <w:tcPr>
            <w:tcW w:w="3870" w:type="dxa"/>
            <w:vAlign w:val="center"/>
          </w:tcPr>
          <w:p w:rsidR="006D5C62" w:rsidRPr="00B72CF9" w:rsidRDefault="00D37121" w:rsidP="001F510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and implement an engagement strategy for sponsors.</w:t>
            </w:r>
            <w:r w:rsidR="00086A05" w:rsidRPr="00B72CF9">
              <w:rPr>
                <w:rFonts w:ascii="Calibri" w:hAnsi="Calibri"/>
              </w:rPr>
              <w:t xml:space="preserve"> Increase sponsorship revenue (currently </w:t>
            </w:r>
            <w:r w:rsidR="001F510B">
              <w:rPr>
                <w:rFonts w:ascii="Calibri" w:hAnsi="Calibri"/>
              </w:rPr>
              <w:t>$508k including contra)</w:t>
            </w:r>
          </w:p>
        </w:tc>
      </w:tr>
      <w:tr w:rsidR="006D5C62" w:rsidTr="000F617A">
        <w:trPr>
          <w:trHeight w:val="32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Engage with donors</w:t>
            </w:r>
          </w:p>
        </w:tc>
        <w:tc>
          <w:tcPr>
            <w:tcW w:w="2970" w:type="dxa"/>
            <w:vAlign w:val="center"/>
          </w:tcPr>
          <w:p w:rsidR="006D5C62" w:rsidRPr="00B72CF9" w:rsidRDefault="00D37121" w:rsidP="00D37121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Hold on-air and off-air donation drives, including ‘tech drives’ and alternative-funded</w:t>
            </w:r>
            <w:r w:rsidR="006D5C62" w:rsidRPr="00B72CF9">
              <w:rPr>
                <w:rFonts w:ascii="Calibri" w:hAnsi="Calibri"/>
              </w:rPr>
              <w:t xml:space="preserve"> projects</w:t>
            </w:r>
          </w:p>
        </w:tc>
        <w:tc>
          <w:tcPr>
            <w:tcW w:w="3870" w:type="dxa"/>
            <w:vAlign w:val="center"/>
          </w:tcPr>
          <w:p w:rsidR="006D5C62" w:rsidRPr="00B72CF9" w:rsidRDefault="00D37121" w:rsidP="001F510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Develop and implement an engagement strategy for donors. </w:t>
            </w:r>
            <w:r w:rsidR="00086A05" w:rsidRPr="00B72CF9">
              <w:rPr>
                <w:rFonts w:ascii="Calibri" w:hAnsi="Calibri"/>
              </w:rPr>
              <w:t xml:space="preserve">Increase </w:t>
            </w:r>
            <w:r w:rsidRPr="00B72CF9">
              <w:rPr>
                <w:rFonts w:ascii="Calibri" w:hAnsi="Calibri"/>
              </w:rPr>
              <w:t>donation revenue (currently</w:t>
            </w:r>
            <w:r w:rsidR="001F510B">
              <w:rPr>
                <w:rFonts w:ascii="Calibri" w:hAnsi="Calibri"/>
              </w:rPr>
              <w:t xml:space="preserve"> $139k</w:t>
            </w:r>
            <w:r w:rsidRPr="00B72CF9">
              <w:rPr>
                <w:rFonts w:ascii="Calibri" w:hAnsi="Calibri"/>
              </w:rPr>
              <w:t>)</w:t>
            </w:r>
          </w:p>
        </w:tc>
      </w:tr>
      <w:tr w:rsidR="006D5C62" w:rsidTr="000F617A">
        <w:trPr>
          <w:trHeight w:val="32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3C593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Patrons’ Program</w:t>
            </w:r>
            <w:r w:rsidR="00073B53">
              <w:rPr>
                <w:rFonts w:ascii="Calibri" w:hAnsi="Calibri"/>
              </w:rPr>
              <w:t xml:space="preserve"> and bequests</w:t>
            </w:r>
          </w:p>
        </w:tc>
        <w:tc>
          <w:tcPr>
            <w:tcW w:w="3870" w:type="dxa"/>
            <w:vAlign w:val="center"/>
          </w:tcPr>
          <w:p w:rsidR="006D5C62" w:rsidRPr="00B72CF9" w:rsidRDefault="00D37121" w:rsidP="000A706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Maintain and build engagement with </w:t>
            </w:r>
            <w:r w:rsidR="000A7068" w:rsidRPr="00B72CF9">
              <w:rPr>
                <w:rFonts w:ascii="Calibri" w:hAnsi="Calibri"/>
              </w:rPr>
              <w:t xml:space="preserve">Patrons </w:t>
            </w:r>
            <w:r w:rsidRPr="00B72CF9">
              <w:rPr>
                <w:rFonts w:ascii="Calibri" w:hAnsi="Calibri"/>
              </w:rPr>
              <w:t xml:space="preserve">(currently </w:t>
            </w:r>
            <w:r w:rsidR="000A7068" w:rsidRPr="00B72CF9">
              <w:rPr>
                <w:rFonts w:ascii="Calibri" w:hAnsi="Calibri"/>
              </w:rPr>
              <w:t>2 events</w:t>
            </w:r>
            <w:r w:rsidRPr="00B72CF9">
              <w:rPr>
                <w:rFonts w:ascii="Calibri" w:hAnsi="Calibri"/>
              </w:rPr>
              <w:t>)</w:t>
            </w:r>
            <w:r w:rsidR="00073B53">
              <w:rPr>
                <w:rFonts w:ascii="Calibri" w:hAnsi="Calibri"/>
              </w:rPr>
              <w:t xml:space="preserve"> and bequests</w:t>
            </w:r>
          </w:p>
        </w:tc>
      </w:tr>
      <w:tr w:rsidR="006D5C62" w:rsidTr="000F617A">
        <w:trPr>
          <w:trHeight w:val="320"/>
        </w:trPr>
        <w:tc>
          <w:tcPr>
            <w:tcW w:w="144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532D58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83457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Host other fundraising events</w:t>
            </w:r>
          </w:p>
        </w:tc>
        <w:tc>
          <w:tcPr>
            <w:tcW w:w="3870" w:type="dxa"/>
            <w:vAlign w:val="center"/>
          </w:tcPr>
          <w:p w:rsidR="006D5C62" w:rsidRPr="00B72CF9" w:rsidRDefault="00086A05" w:rsidP="001F510B">
            <w:pPr>
              <w:rPr>
                <w:rFonts w:ascii="Calibri" w:hAnsi="Calibri"/>
                <w:highlight w:val="yellow"/>
              </w:rPr>
            </w:pPr>
            <w:r w:rsidRPr="00B72CF9">
              <w:rPr>
                <w:rFonts w:ascii="Calibri" w:hAnsi="Calibri"/>
              </w:rPr>
              <w:t xml:space="preserve">Increase </w:t>
            </w:r>
            <w:r w:rsidR="000A7068" w:rsidRPr="00B72CF9">
              <w:rPr>
                <w:rFonts w:ascii="Calibri" w:hAnsi="Calibri"/>
              </w:rPr>
              <w:t>f</w:t>
            </w:r>
            <w:r w:rsidR="006D5C62" w:rsidRPr="00B72CF9">
              <w:rPr>
                <w:rFonts w:ascii="Calibri" w:hAnsi="Calibri"/>
              </w:rPr>
              <w:t xml:space="preserve">undraising </w:t>
            </w:r>
            <w:r w:rsidR="000A7068" w:rsidRPr="00B72CF9">
              <w:rPr>
                <w:rFonts w:ascii="Calibri" w:hAnsi="Calibri"/>
              </w:rPr>
              <w:t>revenue (currently</w:t>
            </w:r>
            <w:r w:rsidR="001F510B">
              <w:rPr>
                <w:rFonts w:ascii="Calibri" w:hAnsi="Calibri"/>
              </w:rPr>
              <w:t xml:space="preserve"> $16k)</w:t>
            </w:r>
          </w:p>
        </w:tc>
      </w:tr>
      <w:tr w:rsidR="006D5C62" w:rsidTr="000F617A">
        <w:trPr>
          <w:trHeight w:val="320"/>
        </w:trPr>
        <w:tc>
          <w:tcPr>
            <w:tcW w:w="1440" w:type="dxa"/>
            <w:vMerge w:val="restart"/>
            <w:vAlign w:val="center"/>
          </w:tcPr>
          <w:p w:rsidR="006D5C62" w:rsidRPr="00B72CF9" w:rsidRDefault="006D5C62" w:rsidP="00861FA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Connect with new communities and audiences</w:t>
            </w:r>
          </w:p>
        </w:tc>
        <w:tc>
          <w:tcPr>
            <w:tcW w:w="1710" w:type="dxa"/>
            <w:vMerge w:val="restart"/>
            <w:vAlign w:val="center"/>
          </w:tcPr>
          <w:p w:rsidR="006D5C62" w:rsidRPr="00B72CF9" w:rsidRDefault="000A7068" w:rsidP="00426BB3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</w:t>
            </w:r>
            <w:r w:rsidR="006D5C62" w:rsidRPr="00B72CF9">
              <w:rPr>
                <w:rFonts w:ascii="Calibri" w:hAnsi="Calibri"/>
              </w:rPr>
              <w:t xml:space="preserve"> </w:t>
            </w:r>
            <w:r w:rsidRPr="00B72CF9">
              <w:rPr>
                <w:rFonts w:ascii="Calibri" w:hAnsi="Calibri"/>
              </w:rPr>
              <w:t xml:space="preserve">JOY value proposition, </w:t>
            </w:r>
            <w:r w:rsidR="006D5C62" w:rsidRPr="00B72CF9">
              <w:rPr>
                <w:rFonts w:ascii="Calibri" w:hAnsi="Calibri"/>
              </w:rPr>
              <w:t>marketing and branding</w:t>
            </w:r>
          </w:p>
        </w:tc>
        <w:tc>
          <w:tcPr>
            <w:tcW w:w="2970" w:type="dxa"/>
            <w:vAlign w:val="center"/>
          </w:tcPr>
          <w:p w:rsidR="006D5C62" w:rsidRPr="00B72CF9" w:rsidRDefault="006D5C62" w:rsidP="000A706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a marketing strategy, including a business case with target areas and cohorts</w:t>
            </w:r>
          </w:p>
        </w:tc>
        <w:tc>
          <w:tcPr>
            <w:tcW w:w="3870" w:type="dxa"/>
            <w:vAlign w:val="center"/>
          </w:tcPr>
          <w:p w:rsidR="006D5C62" w:rsidRPr="00B72CF9" w:rsidRDefault="000A7068" w:rsidP="000A706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Marketing s</w:t>
            </w:r>
            <w:r w:rsidR="006D5C62" w:rsidRPr="00B72CF9">
              <w:rPr>
                <w:rFonts w:ascii="Calibri" w:hAnsi="Calibri"/>
              </w:rPr>
              <w:t xml:space="preserve">trategy </w:t>
            </w:r>
            <w:r w:rsidRPr="00B72CF9">
              <w:rPr>
                <w:rFonts w:ascii="Calibri" w:hAnsi="Calibri"/>
              </w:rPr>
              <w:t>developed</w:t>
            </w:r>
            <w:r w:rsidR="006D5C62" w:rsidRPr="00B72CF9">
              <w:rPr>
                <w:rFonts w:ascii="Calibri" w:hAnsi="Calibri"/>
              </w:rPr>
              <w:t xml:space="preserve"> and implemented</w:t>
            </w:r>
            <w:r w:rsidRPr="00B72CF9">
              <w:rPr>
                <w:rFonts w:ascii="Calibri" w:hAnsi="Calibri"/>
              </w:rPr>
              <w:t>, with measures of success</w:t>
            </w:r>
          </w:p>
        </w:tc>
      </w:tr>
      <w:tr w:rsidR="006D5C62" w:rsidTr="000F617A">
        <w:trPr>
          <w:trHeight w:val="320"/>
        </w:trPr>
        <w:tc>
          <w:tcPr>
            <w:tcW w:w="1440" w:type="dxa"/>
            <w:vMerge/>
            <w:vAlign w:val="center"/>
          </w:tcPr>
          <w:p w:rsidR="006D5C62" w:rsidRPr="00B72CF9" w:rsidRDefault="006D5C62" w:rsidP="00861FA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6D5C62" w:rsidRPr="00B72CF9" w:rsidRDefault="006D5C62" w:rsidP="00426BB3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6D5C62" w:rsidRPr="00B72CF9" w:rsidRDefault="006D5C62" w:rsidP="00861FA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Review branding</w:t>
            </w:r>
          </w:p>
        </w:tc>
        <w:tc>
          <w:tcPr>
            <w:tcW w:w="3870" w:type="dxa"/>
            <w:vAlign w:val="center"/>
          </w:tcPr>
          <w:p w:rsidR="006D5C62" w:rsidRPr="00B72CF9" w:rsidRDefault="006D5C62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Review completed</w:t>
            </w:r>
          </w:p>
        </w:tc>
      </w:tr>
    </w:tbl>
    <w:p w:rsidR="00F24BE8" w:rsidRDefault="00F24BE8" w:rsidP="00F24BE8"/>
    <w:p w:rsidR="00E11874" w:rsidRDefault="00E11874">
      <w:pPr>
        <w:rPr>
          <w:b/>
          <w:color w:val="005BAB"/>
          <w:sz w:val="28"/>
        </w:rPr>
      </w:pPr>
      <w:r>
        <w:br w:type="page"/>
      </w:r>
    </w:p>
    <w:p w:rsidR="00F24BE8" w:rsidRDefault="00F24BE8" w:rsidP="00711E6F">
      <w:pPr>
        <w:pStyle w:val="Heading3"/>
      </w:pPr>
      <w:r>
        <w:lastRenderedPageBreak/>
        <w:t>People</w:t>
      </w:r>
      <w:r w:rsidR="008D5920">
        <w:t xml:space="preserve"> (volunteers and staff)</w:t>
      </w:r>
    </w:p>
    <w:p w:rsidR="0094586A" w:rsidRDefault="008D5920" w:rsidP="008D5920">
      <w:r>
        <w:t xml:space="preserve">Dream statement: </w:t>
      </w:r>
      <w:r w:rsidR="00910001">
        <w:t xml:space="preserve">JOY is an inclusive and nurturing place for </w:t>
      </w:r>
      <w:r w:rsidR="009D2AB7">
        <w:t xml:space="preserve">volunteers and </w:t>
      </w:r>
      <w:r w:rsidR="00910001">
        <w:t>staff.</w:t>
      </w:r>
    </w:p>
    <w:tbl>
      <w:tblPr>
        <w:tblStyle w:val="TableGrid"/>
        <w:tblW w:w="9990" w:type="dxa"/>
        <w:tblInd w:w="-342" w:type="dxa"/>
        <w:tblBorders>
          <w:top w:val="single" w:sz="4" w:space="0" w:color="D60D8C"/>
          <w:left w:val="single" w:sz="4" w:space="0" w:color="D60D8C"/>
          <w:bottom w:val="single" w:sz="4" w:space="0" w:color="D60D8C"/>
          <w:right w:val="single" w:sz="4" w:space="0" w:color="D60D8C"/>
          <w:insideH w:val="single" w:sz="4" w:space="0" w:color="D60D8C"/>
          <w:insideV w:val="single" w:sz="4" w:space="0" w:color="D60D8C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2970"/>
        <w:gridCol w:w="3870"/>
      </w:tblGrid>
      <w:tr w:rsidR="0094586A" w:rsidTr="0094586A">
        <w:tc>
          <w:tcPr>
            <w:tcW w:w="1440" w:type="dxa"/>
            <w:shd w:val="clear" w:color="auto" w:fill="DAEEF3" w:themeFill="accent5" w:themeFillTint="33"/>
          </w:tcPr>
          <w:p w:rsidR="0094586A" w:rsidRPr="008D5920" w:rsidRDefault="00115890" w:rsidP="00115890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Goals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94586A" w:rsidRPr="0094586A" w:rsidRDefault="0094586A" w:rsidP="00D91B19">
            <w:pPr>
              <w:rPr>
                <w:b/>
                <w:color w:val="005BAB"/>
              </w:rPr>
            </w:pPr>
            <w:r w:rsidRPr="0094586A">
              <w:rPr>
                <w:b/>
                <w:color w:val="005BAB"/>
              </w:rPr>
              <w:t>Strategies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94586A" w:rsidRPr="0094586A" w:rsidRDefault="0094586A" w:rsidP="00D91B19">
            <w:pPr>
              <w:rPr>
                <w:b/>
                <w:color w:val="005BAB"/>
              </w:rPr>
            </w:pPr>
            <w:r w:rsidRPr="0094586A">
              <w:rPr>
                <w:b/>
                <w:color w:val="005BAB"/>
              </w:rPr>
              <w:t>Activities</w:t>
            </w:r>
          </w:p>
        </w:tc>
        <w:tc>
          <w:tcPr>
            <w:tcW w:w="3870" w:type="dxa"/>
            <w:shd w:val="clear" w:color="auto" w:fill="DAEEF3" w:themeFill="accent5" w:themeFillTint="33"/>
          </w:tcPr>
          <w:p w:rsidR="0094586A" w:rsidRPr="0094586A" w:rsidRDefault="00115890" w:rsidP="00D91B19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Measures</w:t>
            </w:r>
          </w:p>
        </w:tc>
      </w:tr>
      <w:tr w:rsidR="0094586A" w:rsidTr="0094586A">
        <w:trPr>
          <w:trHeight w:val="130"/>
        </w:trPr>
        <w:tc>
          <w:tcPr>
            <w:tcW w:w="1440" w:type="dxa"/>
            <w:vMerge w:val="restart"/>
            <w:vAlign w:val="center"/>
          </w:tcPr>
          <w:p w:rsidR="0094586A" w:rsidRPr="00910001" w:rsidRDefault="0094586A" w:rsidP="006D5C62">
            <w:r w:rsidRPr="00910001">
              <w:t>A culture that reflects our values</w:t>
            </w:r>
          </w:p>
        </w:tc>
        <w:tc>
          <w:tcPr>
            <w:tcW w:w="1710" w:type="dxa"/>
            <w:vMerge w:val="restart"/>
            <w:vAlign w:val="center"/>
          </w:tcPr>
          <w:p w:rsidR="0094586A" w:rsidRPr="00910001" w:rsidRDefault="0094586A" w:rsidP="00A25F20">
            <w:r w:rsidRPr="00910001">
              <w:t>Values are central</w:t>
            </w:r>
          </w:p>
        </w:tc>
        <w:tc>
          <w:tcPr>
            <w:tcW w:w="2970" w:type="dxa"/>
            <w:vAlign w:val="center"/>
          </w:tcPr>
          <w:p w:rsidR="0094586A" w:rsidRPr="0078269F" w:rsidRDefault="0094586A" w:rsidP="00D91B19">
            <w:r w:rsidRPr="0078269F">
              <w:t>Culture survey</w:t>
            </w:r>
            <w:r w:rsidR="006D5C62" w:rsidRPr="0078269F">
              <w:t xml:space="preserve"> conducted regularly</w:t>
            </w:r>
          </w:p>
        </w:tc>
        <w:tc>
          <w:tcPr>
            <w:tcW w:w="3870" w:type="dxa"/>
          </w:tcPr>
          <w:p w:rsidR="0094586A" w:rsidRPr="0078269F" w:rsidRDefault="0078269F" w:rsidP="00086A05">
            <w:r w:rsidRPr="0078269F">
              <w:t>Average r</w:t>
            </w:r>
            <w:r w:rsidR="006D5C62" w:rsidRPr="0078269F">
              <w:t xml:space="preserve">esults improve </w:t>
            </w:r>
            <w:r w:rsidRPr="0078269F">
              <w:t xml:space="preserve">(currently </w:t>
            </w:r>
            <w:r w:rsidR="00086A05">
              <w:t>3.7</w:t>
            </w:r>
            <w:r w:rsidRPr="0078269F">
              <w:t>)</w:t>
            </w:r>
          </w:p>
        </w:tc>
      </w:tr>
      <w:tr w:rsidR="0094586A" w:rsidTr="0094586A">
        <w:trPr>
          <w:trHeight w:val="170"/>
        </w:trPr>
        <w:tc>
          <w:tcPr>
            <w:tcW w:w="1440" w:type="dxa"/>
            <w:vMerge/>
            <w:vAlign w:val="center"/>
          </w:tcPr>
          <w:p w:rsidR="0094586A" w:rsidRPr="00910001" w:rsidRDefault="0094586A" w:rsidP="00D91B19"/>
        </w:tc>
        <w:tc>
          <w:tcPr>
            <w:tcW w:w="1710" w:type="dxa"/>
            <w:vMerge/>
            <w:vAlign w:val="center"/>
          </w:tcPr>
          <w:p w:rsidR="0094586A" w:rsidRPr="00910001" w:rsidRDefault="0094586A" w:rsidP="00D91B19"/>
        </w:tc>
        <w:tc>
          <w:tcPr>
            <w:tcW w:w="2970" w:type="dxa"/>
            <w:vAlign w:val="center"/>
          </w:tcPr>
          <w:p w:rsidR="0094586A" w:rsidRPr="0078269F" w:rsidRDefault="0094586A" w:rsidP="00D91B19">
            <w:r w:rsidRPr="0078269F">
              <w:t>In-station displays</w:t>
            </w:r>
            <w:r w:rsidR="006D5C62" w:rsidRPr="0078269F">
              <w:t xml:space="preserve"> developed and referenced</w:t>
            </w:r>
          </w:p>
        </w:tc>
        <w:tc>
          <w:tcPr>
            <w:tcW w:w="3870" w:type="dxa"/>
          </w:tcPr>
          <w:p w:rsidR="0094586A" w:rsidRPr="0078269F" w:rsidRDefault="00910001" w:rsidP="00D91B19">
            <w:r w:rsidRPr="0078269F">
              <w:t>Strategic plan is launched and in-station displays developed</w:t>
            </w:r>
          </w:p>
        </w:tc>
      </w:tr>
      <w:tr w:rsidR="006D5C62" w:rsidTr="00910001">
        <w:trPr>
          <w:trHeight w:val="197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Merge w:val="restart"/>
            <w:vAlign w:val="center"/>
          </w:tcPr>
          <w:p w:rsidR="006D5C62" w:rsidRPr="00910001" w:rsidRDefault="006D5C62" w:rsidP="006D5C62">
            <w:r w:rsidRPr="00910001">
              <w:t>Balance celebrated to combat burnout</w:t>
            </w:r>
          </w:p>
        </w:tc>
        <w:tc>
          <w:tcPr>
            <w:tcW w:w="2970" w:type="dxa"/>
            <w:vAlign w:val="center"/>
          </w:tcPr>
          <w:p w:rsidR="006D5C62" w:rsidRPr="0078269F" w:rsidRDefault="00910001" w:rsidP="0078269F">
            <w:r w:rsidRPr="0078269F">
              <w:t xml:space="preserve">Establish and embed </w:t>
            </w:r>
            <w:r w:rsidR="0078269F">
              <w:t xml:space="preserve">the value of </w:t>
            </w:r>
            <w:r w:rsidRPr="0078269F">
              <w:t>‘sustainability’</w:t>
            </w:r>
          </w:p>
        </w:tc>
        <w:tc>
          <w:tcPr>
            <w:tcW w:w="3870" w:type="dxa"/>
            <w:vAlign w:val="center"/>
          </w:tcPr>
          <w:p w:rsidR="006D5C62" w:rsidRPr="0078269F" w:rsidRDefault="00910001" w:rsidP="00910001">
            <w:r w:rsidRPr="0078269F">
              <w:t>Strategic plan is launched and informs future events and reporting</w:t>
            </w:r>
          </w:p>
        </w:tc>
      </w:tr>
      <w:tr w:rsidR="006D5C62" w:rsidTr="0094586A">
        <w:trPr>
          <w:trHeight w:val="300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Merge/>
            <w:vAlign w:val="center"/>
          </w:tcPr>
          <w:p w:rsidR="006D5C62" w:rsidRPr="00910001" w:rsidRDefault="006D5C62" w:rsidP="00A25F20"/>
        </w:tc>
        <w:tc>
          <w:tcPr>
            <w:tcW w:w="2970" w:type="dxa"/>
            <w:vAlign w:val="center"/>
          </w:tcPr>
          <w:p w:rsidR="006D5C62" w:rsidRDefault="006D5C62" w:rsidP="00587DA8">
            <w:r>
              <w:t>Identify and address issues as part of performance development and review process.</w:t>
            </w:r>
          </w:p>
        </w:tc>
        <w:tc>
          <w:tcPr>
            <w:tcW w:w="3870" w:type="dxa"/>
            <w:vAlign w:val="center"/>
          </w:tcPr>
          <w:p w:rsidR="006D5C62" w:rsidRPr="0078269F" w:rsidRDefault="00910001" w:rsidP="00086A05">
            <w:r w:rsidRPr="0078269F">
              <w:t>Ongoing development and review process consistently followed</w:t>
            </w:r>
            <w:r w:rsidR="0087385F">
              <w:t xml:space="preserve"> (</w:t>
            </w:r>
            <w:r w:rsidR="00086A05">
              <w:t>c</w:t>
            </w:r>
            <w:r w:rsidR="00B70BE7">
              <w:t xml:space="preserve">urrently </w:t>
            </w:r>
            <w:r w:rsidR="0087385F">
              <w:t>14 reviews)</w:t>
            </w:r>
          </w:p>
        </w:tc>
      </w:tr>
      <w:tr w:rsidR="006D5C62" w:rsidTr="0094586A">
        <w:trPr>
          <w:trHeight w:val="300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Align w:val="center"/>
          </w:tcPr>
          <w:p w:rsidR="006D5C62" w:rsidRPr="00910001" w:rsidRDefault="006D5C62" w:rsidP="00D91B19">
            <w:r w:rsidRPr="00910001">
              <w:t>Rights and responsibilities are lived</w:t>
            </w:r>
          </w:p>
        </w:tc>
        <w:tc>
          <w:tcPr>
            <w:tcW w:w="2970" w:type="dxa"/>
            <w:vAlign w:val="center"/>
          </w:tcPr>
          <w:p w:rsidR="006D5C62" w:rsidRPr="006A04E9" w:rsidRDefault="006D5C62" w:rsidP="0078269F">
            <w:pPr>
              <w:rPr>
                <w:highlight w:val="green"/>
              </w:rPr>
            </w:pPr>
            <w:r>
              <w:t>Reward positive behaviour and</w:t>
            </w:r>
            <w:r w:rsidR="00910001">
              <w:t xml:space="preserve"> address non-</w:t>
            </w:r>
            <w:r w:rsidR="0078269F">
              <w:t xml:space="preserve">JOY-aligned </w:t>
            </w:r>
            <w:r w:rsidR="00910001">
              <w:t>behaviour</w:t>
            </w:r>
          </w:p>
        </w:tc>
        <w:tc>
          <w:tcPr>
            <w:tcW w:w="3870" w:type="dxa"/>
            <w:vAlign w:val="center"/>
          </w:tcPr>
          <w:p w:rsidR="006D5C62" w:rsidRPr="0078269F" w:rsidRDefault="00910001" w:rsidP="00D91B19">
            <w:r w:rsidRPr="0078269F">
              <w:t>Ongoing development and review process consistently followed</w:t>
            </w:r>
            <w:r w:rsidR="0078269F" w:rsidRPr="0078269F">
              <w:t>, with clear transition in and out procedures</w:t>
            </w:r>
          </w:p>
        </w:tc>
      </w:tr>
      <w:tr w:rsidR="006D5C62" w:rsidTr="00910001">
        <w:trPr>
          <w:trHeight w:val="55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Merge w:val="restart"/>
            <w:vAlign w:val="center"/>
          </w:tcPr>
          <w:p w:rsidR="006D5C62" w:rsidRPr="00910001" w:rsidRDefault="006D5C62" w:rsidP="006A04E9">
            <w:r w:rsidRPr="00910001">
              <w:t>Effectively and quickly resolve disputes</w:t>
            </w:r>
          </w:p>
        </w:tc>
        <w:tc>
          <w:tcPr>
            <w:tcW w:w="2970" w:type="dxa"/>
            <w:vAlign w:val="center"/>
          </w:tcPr>
          <w:p w:rsidR="006D5C62" w:rsidRPr="0078269F" w:rsidRDefault="006D5C62" w:rsidP="00587DA8">
            <w:r w:rsidRPr="0078269F">
              <w:t>Processes are embedded,  clear, followed and documented in handbook</w:t>
            </w:r>
          </w:p>
        </w:tc>
        <w:tc>
          <w:tcPr>
            <w:tcW w:w="3870" w:type="dxa"/>
            <w:vAlign w:val="center"/>
          </w:tcPr>
          <w:p w:rsidR="006D5C62" w:rsidRPr="0078269F" w:rsidRDefault="00D35E21" w:rsidP="00910001">
            <w:r w:rsidRPr="0078269F">
              <w:t>Handbook continued to be updated and followed</w:t>
            </w:r>
          </w:p>
        </w:tc>
      </w:tr>
      <w:tr w:rsidR="006D5C62" w:rsidTr="00910001">
        <w:trPr>
          <w:trHeight w:val="55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Merge/>
            <w:vAlign w:val="center"/>
          </w:tcPr>
          <w:p w:rsidR="006D5C62" w:rsidRPr="00910001" w:rsidRDefault="006D5C62" w:rsidP="00D91B19"/>
        </w:tc>
        <w:tc>
          <w:tcPr>
            <w:tcW w:w="2970" w:type="dxa"/>
            <w:vAlign w:val="center"/>
          </w:tcPr>
          <w:p w:rsidR="006D5C62" w:rsidRPr="0078269F" w:rsidRDefault="006D5C62" w:rsidP="00587DA8">
            <w:r w:rsidRPr="0078269F">
              <w:t>Timely resolution of issues is measured based on agreed timelines and circumstances</w:t>
            </w:r>
          </w:p>
        </w:tc>
        <w:tc>
          <w:tcPr>
            <w:tcW w:w="3870" w:type="dxa"/>
            <w:vAlign w:val="center"/>
          </w:tcPr>
          <w:p w:rsidR="006D5C62" w:rsidRPr="0078269F" w:rsidRDefault="00D35E21" w:rsidP="00D35E21">
            <w:r w:rsidRPr="0078269F">
              <w:t>Disputes register records metrics and shows resolutions within policy timeframes</w:t>
            </w:r>
          </w:p>
        </w:tc>
      </w:tr>
      <w:tr w:rsidR="006D5C62" w:rsidTr="00910001">
        <w:trPr>
          <w:trHeight w:val="130"/>
        </w:trPr>
        <w:tc>
          <w:tcPr>
            <w:tcW w:w="1440" w:type="dxa"/>
            <w:vMerge w:val="restart"/>
            <w:vAlign w:val="center"/>
          </w:tcPr>
          <w:p w:rsidR="006D5C62" w:rsidRPr="00910001" w:rsidRDefault="006D5C62" w:rsidP="006D5C62">
            <w:r w:rsidRPr="00910001">
              <w:t>Empowered and skilled professional volunteers</w:t>
            </w:r>
          </w:p>
        </w:tc>
        <w:tc>
          <w:tcPr>
            <w:tcW w:w="1710" w:type="dxa"/>
            <w:vMerge w:val="restart"/>
            <w:vAlign w:val="center"/>
          </w:tcPr>
          <w:p w:rsidR="006D5C62" w:rsidRPr="00910001" w:rsidRDefault="006D5C62" w:rsidP="006A04E9">
            <w:r w:rsidRPr="00910001">
              <w:t>Deliver high quality and regular training that meets needs</w:t>
            </w:r>
          </w:p>
        </w:tc>
        <w:tc>
          <w:tcPr>
            <w:tcW w:w="2970" w:type="dxa"/>
            <w:vAlign w:val="center"/>
          </w:tcPr>
          <w:p w:rsidR="006D5C62" w:rsidRPr="0078269F" w:rsidRDefault="006D5C62" w:rsidP="00587DA8">
            <w:r w:rsidRPr="0078269F">
              <w:t>Induction process across all roles, including position descri</w:t>
            </w:r>
            <w:r w:rsidR="00587DA8" w:rsidRPr="0078269F">
              <w:t>ptions developed and maintained</w:t>
            </w:r>
          </w:p>
        </w:tc>
        <w:tc>
          <w:tcPr>
            <w:tcW w:w="3870" w:type="dxa"/>
            <w:vAlign w:val="center"/>
          </w:tcPr>
          <w:p w:rsidR="006D5C62" w:rsidRPr="0078269F" w:rsidRDefault="00D35E21" w:rsidP="00BD30C3">
            <w:r w:rsidRPr="0078269F">
              <w:t>Review human resource processes and implement findings of review</w:t>
            </w:r>
          </w:p>
        </w:tc>
      </w:tr>
      <w:tr w:rsidR="006D5C62" w:rsidTr="00910001">
        <w:trPr>
          <w:trHeight w:val="130"/>
        </w:trPr>
        <w:tc>
          <w:tcPr>
            <w:tcW w:w="1440" w:type="dxa"/>
            <w:vMerge/>
            <w:vAlign w:val="center"/>
          </w:tcPr>
          <w:p w:rsidR="006D5C62" w:rsidRPr="00910001" w:rsidRDefault="006D5C62" w:rsidP="003C5935"/>
        </w:tc>
        <w:tc>
          <w:tcPr>
            <w:tcW w:w="1710" w:type="dxa"/>
            <w:vMerge/>
            <w:vAlign w:val="center"/>
          </w:tcPr>
          <w:p w:rsidR="006D5C62" w:rsidRPr="00910001" w:rsidRDefault="006D5C62" w:rsidP="00D91B19"/>
        </w:tc>
        <w:tc>
          <w:tcPr>
            <w:tcW w:w="2970" w:type="dxa"/>
            <w:vAlign w:val="center"/>
          </w:tcPr>
          <w:p w:rsidR="006D5C62" w:rsidRPr="0078269F" w:rsidRDefault="006D5C62" w:rsidP="00587DA8">
            <w:r w:rsidRPr="0078269F">
              <w:t>Leadership development program developed and implemented</w:t>
            </w:r>
          </w:p>
        </w:tc>
        <w:tc>
          <w:tcPr>
            <w:tcW w:w="3870" w:type="dxa"/>
            <w:vAlign w:val="center"/>
          </w:tcPr>
          <w:p w:rsidR="006D5C62" w:rsidRPr="0078269F" w:rsidRDefault="00D35E21" w:rsidP="00D35E21">
            <w:r w:rsidRPr="0078269F">
              <w:t>Program implemented for key leaders</w:t>
            </w:r>
          </w:p>
        </w:tc>
      </w:tr>
      <w:tr w:rsidR="006D5C62" w:rsidTr="00910001">
        <w:trPr>
          <w:trHeight w:val="130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Merge/>
            <w:vAlign w:val="center"/>
          </w:tcPr>
          <w:p w:rsidR="006D5C62" w:rsidRPr="00910001" w:rsidRDefault="006D5C62" w:rsidP="00D91B19"/>
        </w:tc>
        <w:tc>
          <w:tcPr>
            <w:tcW w:w="2970" w:type="dxa"/>
            <w:vAlign w:val="center"/>
          </w:tcPr>
          <w:p w:rsidR="006D5C62" w:rsidRPr="0078269F" w:rsidRDefault="006D5C62" w:rsidP="00D35E21">
            <w:r w:rsidRPr="0078269F">
              <w:t>Diversity and mental health - speciality training program developed</w:t>
            </w:r>
          </w:p>
        </w:tc>
        <w:tc>
          <w:tcPr>
            <w:tcW w:w="3870" w:type="dxa"/>
            <w:vAlign w:val="center"/>
          </w:tcPr>
          <w:p w:rsidR="006D5C62" w:rsidRPr="0078269F" w:rsidRDefault="00D35E21" w:rsidP="00D35E21">
            <w:r w:rsidRPr="0078269F">
              <w:t>Program implemented, with regular ongoing development, information and visibility.</w:t>
            </w:r>
          </w:p>
        </w:tc>
      </w:tr>
      <w:tr w:rsidR="006D5C62" w:rsidTr="00910001">
        <w:trPr>
          <w:trHeight w:val="130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Merge/>
            <w:vAlign w:val="center"/>
          </w:tcPr>
          <w:p w:rsidR="006D5C62" w:rsidRPr="00910001" w:rsidRDefault="006D5C62" w:rsidP="00D91B19"/>
        </w:tc>
        <w:tc>
          <w:tcPr>
            <w:tcW w:w="2970" w:type="dxa"/>
            <w:vAlign w:val="center"/>
          </w:tcPr>
          <w:p w:rsidR="006D5C62" w:rsidRPr="0078269F" w:rsidRDefault="006D5C62" w:rsidP="00587DA8">
            <w:r w:rsidRPr="0078269F">
              <w:t>Develop quick reference materials for volunteers that summarise hand book details</w:t>
            </w:r>
          </w:p>
        </w:tc>
        <w:tc>
          <w:tcPr>
            <w:tcW w:w="3870" w:type="dxa"/>
            <w:vAlign w:val="center"/>
          </w:tcPr>
          <w:p w:rsidR="006D5C62" w:rsidRPr="0078269F" w:rsidRDefault="00D35E21" w:rsidP="00D35E21">
            <w:r w:rsidRPr="0078269F">
              <w:t>Summary materials produced</w:t>
            </w:r>
          </w:p>
        </w:tc>
      </w:tr>
      <w:tr w:rsidR="006D5C62" w:rsidTr="00910001">
        <w:trPr>
          <w:trHeight w:val="220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Align w:val="center"/>
          </w:tcPr>
          <w:p w:rsidR="006D5C62" w:rsidRPr="00910001" w:rsidRDefault="006D5C62" w:rsidP="006A04E9">
            <w:r w:rsidRPr="00910001">
              <w:t>Utilise volunteer skills</w:t>
            </w:r>
          </w:p>
        </w:tc>
        <w:tc>
          <w:tcPr>
            <w:tcW w:w="2970" w:type="dxa"/>
            <w:vAlign w:val="center"/>
          </w:tcPr>
          <w:p w:rsidR="006D5C62" w:rsidRPr="0078269F" w:rsidRDefault="00D35E21" w:rsidP="00D35E21">
            <w:r w:rsidRPr="0078269F">
              <w:t>I</w:t>
            </w:r>
            <w:r w:rsidR="006D5C62" w:rsidRPr="0078269F">
              <w:t xml:space="preserve">dentify available skills in volunteer ranks and identify </w:t>
            </w:r>
            <w:r w:rsidRPr="0078269F">
              <w:t>vacancies to match</w:t>
            </w:r>
          </w:p>
        </w:tc>
        <w:tc>
          <w:tcPr>
            <w:tcW w:w="3870" w:type="dxa"/>
            <w:vAlign w:val="center"/>
          </w:tcPr>
          <w:p w:rsidR="006D5C62" w:rsidRPr="0078269F" w:rsidRDefault="00D35E21" w:rsidP="0078269F">
            <w:r w:rsidRPr="0078269F">
              <w:t>Volunteer ski</w:t>
            </w:r>
            <w:r w:rsidR="0078269F" w:rsidRPr="0078269F">
              <w:t>lls program/register developed</w:t>
            </w:r>
          </w:p>
        </w:tc>
      </w:tr>
      <w:tr w:rsidR="00BD30C3" w:rsidTr="00910001">
        <w:trPr>
          <w:trHeight w:val="710"/>
        </w:trPr>
        <w:tc>
          <w:tcPr>
            <w:tcW w:w="1440" w:type="dxa"/>
            <w:vMerge/>
            <w:vAlign w:val="center"/>
          </w:tcPr>
          <w:p w:rsidR="00BD30C3" w:rsidRPr="00910001" w:rsidRDefault="00BD30C3" w:rsidP="00D91B19"/>
        </w:tc>
        <w:tc>
          <w:tcPr>
            <w:tcW w:w="1710" w:type="dxa"/>
            <w:vMerge w:val="restart"/>
            <w:vAlign w:val="center"/>
          </w:tcPr>
          <w:p w:rsidR="00BD30C3" w:rsidRPr="00910001" w:rsidRDefault="00BD30C3" w:rsidP="003C5935">
            <w:r w:rsidRPr="00910001">
              <w:t>Recognise and celebrate volunteering and excellence</w:t>
            </w:r>
          </w:p>
        </w:tc>
        <w:tc>
          <w:tcPr>
            <w:tcW w:w="2970" w:type="dxa"/>
            <w:vAlign w:val="center"/>
          </w:tcPr>
          <w:p w:rsidR="00BD30C3" w:rsidRPr="0078269F" w:rsidRDefault="00BD30C3" w:rsidP="0078269F">
            <w:r w:rsidRPr="0078269F">
              <w:t xml:space="preserve">Continue with and expand volunteer recognition program, </w:t>
            </w:r>
            <w:r w:rsidR="00587DA8" w:rsidRPr="0078269F">
              <w:t>including milestones and awards</w:t>
            </w:r>
            <w:r w:rsidR="0078269F" w:rsidRPr="0078269F">
              <w:t xml:space="preserve"> for effort, attitudes, excellence and longevity of service</w:t>
            </w:r>
          </w:p>
        </w:tc>
        <w:tc>
          <w:tcPr>
            <w:tcW w:w="3870" w:type="dxa"/>
            <w:vAlign w:val="center"/>
          </w:tcPr>
          <w:p w:rsidR="00BD30C3" w:rsidRPr="0078269F" w:rsidRDefault="0078269F" w:rsidP="0078269F">
            <w:r w:rsidRPr="0078269F">
              <w:t xml:space="preserve">Increase volunteer recognition award events (currently 1). </w:t>
            </w:r>
            <w:r w:rsidR="00BD30C3" w:rsidRPr="0078269F">
              <w:t>Volunteer milestones are tracked</w:t>
            </w:r>
            <w:r w:rsidRPr="0078269F">
              <w:t xml:space="preserve"> and honoured consistently. Volunt</w:t>
            </w:r>
            <w:r w:rsidR="003926FD">
              <w:t>eer participation is celebrated (currently 80 appreciation incentives).</w:t>
            </w:r>
          </w:p>
        </w:tc>
      </w:tr>
      <w:tr w:rsidR="00BD30C3" w:rsidTr="00910001">
        <w:trPr>
          <w:trHeight w:val="710"/>
        </w:trPr>
        <w:tc>
          <w:tcPr>
            <w:tcW w:w="1440" w:type="dxa"/>
            <w:vMerge/>
            <w:vAlign w:val="center"/>
          </w:tcPr>
          <w:p w:rsidR="00BD30C3" w:rsidRPr="00910001" w:rsidRDefault="00BD30C3" w:rsidP="00D91B19"/>
        </w:tc>
        <w:tc>
          <w:tcPr>
            <w:tcW w:w="1710" w:type="dxa"/>
            <w:vMerge/>
            <w:vAlign w:val="center"/>
          </w:tcPr>
          <w:p w:rsidR="00BD30C3" w:rsidRPr="00910001" w:rsidRDefault="00BD30C3" w:rsidP="003C5935"/>
        </w:tc>
        <w:tc>
          <w:tcPr>
            <w:tcW w:w="2970" w:type="dxa"/>
            <w:vAlign w:val="center"/>
          </w:tcPr>
          <w:p w:rsidR="00BD30C3" w:rsidRPr="0078269F" w:rsidRDefault="00BD30C3" w:rsidP="00BD30C3">
            <w:r w:rsidRPr="0078269F">
              <w:t>Life Members are celebrated and engaged, and the nomination process is strengthened</w:t>
            </w:r>
          </w:p>
        </w:tc>
        <w:tc>
          <w:tcPr>
            <w:tcW w:w="3870" w:type="dxa"/>
            <w:vAlign w:val="center"/>
          </w:tcPr>
          <w:p w:rsidR="00BD30C3" w:rsidRPr="0078269F" w:rsidRDefault="00BD30C3" w:rsidP="00D35E21">
            <w:r w:rsidRPr="0078269F">
              <w:t>Nomination and selection process is reviewed to possibly include Life Members in the process</w:t>
            </w:r>
          </w:p>
        </w:tc>
      </w:tr>
      <w:tr w:rsidR="006D5C62" w:rsidTr="00587DA8">
        <w:trPr>
          <w:trHeight w:val="120"/>
        </w:trPr>
        <w:tc>
          <w:tcPr>
            <w:tcW w:w="1440" w:type="dxa"/>
            <w:vMerge w:val="restart"/>
            <w:vAlign w:val="center"/>
          </w:tcPr>
          <w:p w:rsidR="006D5C62" w:rsidRPr="00910001" w:rsidRDefault="006D5C62" w:rsidP="00587DA8">
            <w:r w:rsidRPr="00910001">
              <w:t>An inter</w:t>
            </w:r>
            <w:r w:rsidR="00BD30C3">
              <w:t>-</w:t>
            </w:r>
            <w:r w:rsidRPr="00910001">
              <w:t xml:space="preserve">connected </w:t>
            </w:r>
            <w:r w:rsidRPr="00910001">
              <w:lastRenderedPageBreak/>
              <w:t>community</w:t>
            </w:r>
          </w:p>
        </w:tc>
        <w:tc>
          <w:tcPr>
            <w:tcW w:w="1710" w:type="dxa"/>
            <w:vAlign w:val="center"/>
          </w:tcPr>
          <w:p w:rsidR="006D5C62" w:rsidRPr="00910001" w:rsidRDefault="00BD30C3" w:rsidP="00D91B19">
            <w:r>
              <w:lastRenderedPageBreak/>
              <w:t>Improve s</w:t>
            </w:r>
            <w:r w:rsidR="006D5C62" w:rsidRPr="00910001">
              <w:t xml:space="preserve">upport and </w:t>
            </w:r>
            <w:r w:rsidR="006D5C62" w:rsidRPr="00910001">
              <w:lastRenderedPageBreak/>
              <w:t>mentoring</w:t>
            </w:r>
          </w:p>
        </w:tc>
        <w:tc>
          <w:tcPr>
            <w:tcW w:w="2970" w:type="dxa"/>
            <w:vAlign w:val="center"/>
          </w:tcPr>
          <w:p w:rsidR="006D5C62" w:rsidRPr="0078269F" w:rsidRDefault="006D5C62" w:rsidP="00BD30C3">
            <w:r w:rsidRPr="0078269F">
              <w:lastRenderedPageBreak/>
              <w:t xml:space="preserve">Embed in performance and development reviews the </w:t>
            </w:r>
            <w:r w:rsidRPr="0078269F">
              <w:lastRenderedPageBreak/>
              <w:t>identification of needs and availability of mentors/buddies acros</w:t>
            </w:r>
            <w:r w:rsidR="00BD30C3" w:rsidRPr="0078269F">
              <w:t>s all roles and at induction</w:t>
            </w:r>
          </w:p>
        </w:tc>
        <w:tc>
          <w:tcPr>
            <w:tcW w:w="3870" w:type="dxa"/>
            <w:vAlign w:val="center"/>
          </w:tcPr>
          <w:p w:rsidR="006D5C62" w:rsidRPr="0078269F" w:rsidRDefault="00BD30C3" w:rsidP="00910001">
            <w:r w:rsidRPr="0078269F">
              <w:lastRenderedPageBreak/>
              <w:t>Mentor/buddy system established</w:t>
            </w:r>
          </w:p>
        </w:tc>
      </w:tr>
      <w:tr w:rsidR="006D5C62" w:rsidTr="00910001">
        <w:trPr>
          <w:trHeight w:val="170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Align w:val="center"/>
          </w:tcPr>
          <w:p w:rsidR="006D5C62" w:rsidRPr="00910001" w:rsidRDefault="00BD30C3" w:rsidP="00BD30C3">
            <w:r>
              <w:t>Celebrate diversity and build connections</w:t>
            </w:r>
          </w:p>
        </w:tc>
        <w:tc>
          <w:tcPr>
            <w:tcW w:w="2970" w:type="dxa"/>
            <w:vAlign w:val="center"/>
          </w:tcPr>
          <w:p w:rsidR="006D5C62" w:rsidRDefault="006D5C62" w:rsidP="00587DA8">
            <w:r>
              <w:t>Develop an an</w:t>
            </w:r>
            <w:r w:rsidR="00B72CF9">
              <w:t>nual calendar of events, that is</w:t>
            </w:r>
            <w:r>
              <w:t xml:space="preserve"> inclusive of the different communi</w:t>
            </w:r>
            <w:r w:rsidR="00587DA8">
              <w:t>ties and diversity of JOY</w:t>
            </w:r>
          </w:p>
        </w:tc>
        <w:tc>
          <w:tcPr>
            <w:tcW w:w="3870" w:type="dxa"/>
            <w:vAlign w:val="center"/>
          </w:tcPr>
          <w:p w:rsidR="006D5C62" w:rsidRPr="00587DA8" w:rsidRDefault="00BD30C3" w:rsidP="001F510B">
            <w:pPr>
              <w:rPr>
                <w:highlight w:val="yellow"/>
              </w:rPr>
            </w:pPr>
            <w:r w:rsidRPr="0078269F">
              <w:t>Annual calendar of events for volunteers and staff</w:t>
            </w:r>
            <w:r w:rsidR="001F510B">
              <w:t>. Increase volunteer-only events</w:t>
            </w:r>
            <w:r w:rsidR="003926FD">
              <w:t xml:space="preserve"> (currently 5)</w:t>
            </w:r>
          </w:p>
        </w:tc>
      </w:tr>
      <w:tr w:rsidR="006D5C62" w:rsidTr="00910001">
        <w:trPr>
          <w:trHeight w:val="79"/>
        </w:trPr>
        <w:tc>
          <w:tcPr>
            <w:tcW w:w="1440" w:type="dxa"/>
            <w:vMerge/>
            <w:vAlign w:val="center"/>
          </w:tcPr>
          <w:p w:rsidR="006D5C62" w:rsidRPr="00910001" w:rsidRDefault="006D5C62" w:rsidP="00D91B19"/>
        </w:tc>
        <w:tc>
          <w:tcPr>
            <w:tcW w:w="1710" w:type="dxa"/>
            <w:vAlign w:val="center"/>
          </w:tcPr>
          <w:p w:rsidR="006D5C62" w:rsidRPr="00910001" w:rsidRDefault="00587DA8" w:rsidP="006A04E9">
            <w:r>
              <w:t>Build c</w:t>
            </w:r>
            <w:r w:rsidR="006D5C62" w:rsidRPr="00910001">
              <w:t>ommunication and feedback</w:t>
            </w:r>
          </w:p>
        </w:tc>
        <w:tc>
          <w:tcPr>
            <w:tcW w:w="2970" w:type="dxa"/>
            <w:vAlign w:val="center"/>
          </w:tcPr>
          <w:p w:rsidR="006D5C62" w:rsidRPr="0078269F" w:rsidRDefault="00BD30C3" w:rsidP="00BD30C3">
            <w:r w:rsidRPr="0078269F">
              <w:t xml:space="preserve">An </w:t>
            </w:r>
            <w:r w:rsidR="006D5C62" w:rsidRPr="0078269F">
              <w:t xml:space="preserve">annual forum for staff and volunteers to provide </w:t>
            </w:r>
            <w:r w:rsidRPr="0078269F">
              <w:t xml:space="preserve">constructive </w:t>
            </w:r>
            <w:r w:rsidR="006D5C62" w:rsidRPr="0078269F">
              <w:t>feedback</w:t>
            </w:r>
          </w:p>
        </w:tc>
        <w:tc>
          <w:tcPr>
            <w:tcW w:w="3870" w:type="dxa"/>
            <w:vAlign w:val="center"/>
          </w:tcPr>
          <w:p w:rsidR="006D5C62" w:rsidRPr="0078269F" w:rsidRDefault="00BD30C3" w:rsidP="00BD30C3">
            <w:r w:rsidRPr="0078269F">
              <w:t>A forum which reinforces how to provide and receive constructive feedback</w:t>
            </w:r>
          </w:p>
        </w:tc>
      </w:tr>
      <w:tr w:rsidR="00BD30C3" w:rsidTr="00910001">
        <w:trPr>
          <w:trHeight w:val="290"/>
        </w:trPr>
        <w:tc>
          <w:tcPr>
            <w:tcW w:w="1440" w:type="dxa"/>
            <w:vMerge w:val="restart"/>
            <w:vAlign w:val="center"/>
          </w:tcPr>
          <w:p w:rsidR="00BD30C3" w:rsidRPr="00910001" w:rsidRDefault="002A4239" w:rsidP="002A4239">
            <w:r>
              <w:t>Strong and consistent workforce planning</w:t>
            </w:r>
          </w:p>
        </w:tc>
        <w:tc>
          <w:tcPr>
            <w:tcW w:w="1710" w:type="dxa"/>
            <w:vMerge w:val="restart"/>
            <w:vAlign w:val="center"/>
          </w:tcPr>
          <w:p w:rsidR="00BD30C3" w:rsidRPr="00910001" w:rsidRDefault="0078269F" w:rsidP="0078269F">
            <w:r>
              <w:t>Improve attraction and recruitment processes</w:t>
            </w:r>
          </w:p>
        </w:tc>
        <w:tc>
          <w:tcPr>
            <w:tcW w:w="2970" w:type="dxa"/>
            <w:vAlign w:val="center"/>
          </w:tcPr>
          <w:p w:rsidR="00BD30C3" w:rsidRPr="0078269F" w:rsidRDefault="00BD30C3" w:rsidP="00BD30C3">
            <w:r w:rsidRPr="0078269F">
              <w:t>Perform a skills audit</w:t>
            </w:r>
            <w:r w:rsidR="002A4239">
              <w:t xml:space="preserve"> and gap analysis</w:t>
            </w:r>
          </w:p>
        </w:tc>
        <w:tc>
          <w:tcPr>
            <w:tcW w:w="3870" w:type="dxa"/>
            <w:vAlign w:val="center"/>
          </w:tcPr>
          <w:p w:rsidR="00BD30C3" w:rsidRPr="0078269F" w:rsidRDefault="00BD30C3" w:rsidP="0078269F">
            <w:r w:rsidRPr="0078269F">
              <w:t>Volunteer ski</w:t>
            </w:r>
            <w:r w:rsidR="0078269F" w:rsidRPr="0078269F">
              <w:t>lls program/register developed</w:t>
            </w:r>
          </w:p>
        </w:tc>
      </w:tr>
      <w:tr w:rsidR="00BD30C3" w:rsidTr="00910001">
        <w:trPr>
          <w:trHeight w:val="290"/>
        </w:trPr>
        <w:tc>
          <w:tcPr>
            <w:tcW w:w="1440" w:type="dxa"/>
            <w:vMerge/>
            <w:vAlign w:val="center"/>
          </w:tcPr>
          <w:p w:rsidR="00BD30C3" w:rsidRPr="00910001" w:rsidRDefault="00BD30C3" w:rsidP="006D5C62"/>
        </w:tc>
        <w:tc>
          <w:tcPr>
            <w:tcW w:w="1710" w:type="dxa"/>
            <w:vMerge/>
            <w:vAlign w:val="center"/>
          </w:tcPr>
          <w:p w:rsidR="00BD30C3" w:rsidRPr="00910001" w:rsidRDefault="00BD30C3" w:rsidP="00587DA8"/>
        </w:tc>
        <w:tc>
          <w:tcPr>
            <w:tcW w:w="2970" w:type="dxa"/>
            <w:vAlign w:val="center"/>
          </w:tcPr>
          <w:p w:rsidR="00BD30C3" w:rsidRPr="0078269F" w:rsidRDefault="0078269F" w:rsidP="0078269F">
            <w:r>
              <w:t>Offer and be open about opportunities</w:t>
            </w:r>
          </w:p>
        </w:tc>
        <w:tc>
          <w:tcPr>
            <w:tcW w:w="3870" w:type="dxa"/>
            <w:vAlign w:val="center"/>
          </w:tcPr>
          <w:p w:rsidR="00BD30C3" w:rsidRPr="0078269F" w:rsidRDefault="002A4239" w:rsidP="002A4239">
            <w:r>
              <w:t>Recruitment is transparent, timely and competitive</w:t>
            </w:r>
          </w:p>
        </w:tc>
      </w:tr>
      <w:tr w:rsidR="00BD30C3" w:rsidTr="00910001">
        <w:trPr>
          <w:trHeight w:val="290"/>
        </w:trPr>
        <w:tc>
          <w:tcPr>
            <w:tcW w:w="1440" w:type="dxa"/>
            <w:vMerge/>
            <w:vAlign w:val="center"/>
          </w:tcPr>
          <w:p w:rsidR="00BD30C3" w:rsidRPr="00910001" w:rsidRDefault="00BD30C3" w:rsidP="006D5C62"/>
        </w:tc>
        <w:tc>
          <w:tcPr>
            <w:tcW w:w="1710" w:type="dxa"/>
            <w:vMerge/>
            <w:vAlign w:val="center"/>
          </w:tcPr>
          <w:p w:rsidR="00BD30C3" w:rsidRPr="00910001" w:rsidRDefault="00BD30C3" w:rsidP="00587DA8"/>
        </w:tc>
        <w:tc>
          <w:tcPr>
            <w:tcW w:w="2970" w:type="dxa"/>
            <w:vAlign w:val="center"/>
          </w:tcPr>
          <w:p w:rsidR="00BD30C3" w:rsidRPr="0078269F" w:rsidRDefault="00BD30C3" w:rsidP="00BD30C3">
            <w:r w:rsidRPr="0078269F">
              <w:t>Position descriptions are consistently used</w:t>
            </w:r>
          </w:p>
        </w:tc>
        <w:tc>
          <w:tcPr>
            <w:tcW w:w="3870" w:type="dxa"/>
            <w:vAlign w:val="center"/>
          </w:tcPr>
          <w:p w:rsidR="00BD30C3" w:rsidRPr="0078269F" w:rsidRDefault="00BD30C3" w:rsidP="00910001">
            <w:r w:rsidRPr="0078269F">
              <w:t xml:space="preserve">All roles have a </w:t>
            </w:r>
            <w:r w:rsidR="002A4239">
              <w:t xml:space="preserve">clear </w:t>
            </w:r>
            <w:r w:rsidRPr="0078269F">
              <w:t>position description</w:t>
            </w:r>
            <w:r w:rsidR="00B70BE7">
              <w:t xml:space="preserve"> (currently all paid roles, and many ongoing volunteer roles)</w:t>
            </w:r>
          </w:p>
        </w:tc>
      </w:tr>
      <w:tr w:rsidR="002A4239" w:rsidTr="00910001">
        <w:trPr>
          <w:trHeight w:val="130"/>
        </w:trPr>
        <w:tc>
          <w:tcPr>
            <w:tcW w:w="1440" w:type="dxa"/>
            <w:vMerge/>
            <w:vAlign w:val="center"/>
          </w:tcPr>
          <w:p w:rsidR="002A4239" w:rsidRPr="00910001" w:rsidRDefault="002A4239" w:rsidP="00D91B19"/>
        </w:tc>
        <w:tc>
          <w:tcPr>
            <w:tcW w:w="1710" w:type="dxa"/>
            <w:vAlign w:val="center"/>
          </w:tcPr>
          <w:p w:rsidR="002A4239" w:rsidRDefault="002A4239" w:rsidP="00B04AF0">
            <w:r>
              <w:t xml:space="preserve">Improve </w:t>
            </w:r>
            <w:r w:rsidR="00B04AF0">
              <w:t>transition in</w:t>
            </w:r>
          </w:p>
        </w:tc>
        <w:tc>
          <w:tcPr>
            <w:tcW w:w="2970" w:type="dxa"/>
            <w:vAlign w:val="center"/>
          </w:tcPr>
          <w:p w:rsidR="002A4239" w:rsidRPr="0078269F" w:rsidRDefault="002A4239" w:rsidP="00587DA8">
            <w:r>
              <w:t>Provide appropriate induction feedback and review</w:t>
            </w:r>
          </w:p>
        </w:tc>
        <w:tc>
          <w:tcPr>
            <w:tcW w:w="3870" w:type="dxa"/>
            <w:vAlign w:val="center"/>
          </w:tcPr>
          <w:p w:rsidR="002A4239" w:rsidRPr="0078269F" w:rsidRDefault="002A4239" w:rsidP="002A4239">
            <w:r>
              <w:t>Three</w:t>
            </w:r>
            <w:r w:rsidR="00F87803">
              <w:t xml:space="preserve"> and six</w:t>
            </w:r>
            <w:r>
              <w:t xml:space="preserve">-month feedback and reviews undertaken for all </w:t>
            </w:r>
            <w:r w:rsidR="001F510B">
              <w:t xml:space="preserve">new </w:t>
            </w:r>
            <w:r>
              <w:t>volunteers</w:t>
            </w:r>
          </w:p>
        </w:tc>
      </w:tr>
      <w:tr w:rsidR="00BD30C3" w:rsidTr="00910001">
        <w:trPr>
          <w:trHeight w:val="130"/>
        </w:trPr>
        <w:tc>
          <w:tcPr>
            <w:tcW w:w="1440" w:type="dxa"/>
            <w:vMerge/>
            <w:vAlign w:val="center"/>
          </w:tcPr>
          <w:p w:rsidR="00BD30C3" w:rsidRPr="00910001" w:rsidRDefault="00BD30C3" w:rsidP="00D91B19"/>
        </w:tc>
        <w:tc>
          <w:tcPr>
            <w:tcW w:w="1710" w:type="dxa"/>
            <w:vAlign w:val="center"/>
          </w:tcPr>
          <w:p w:rsidR="00BD30C3" w:rsidRPr="00910001" w:rsidRDefault="00587DA8" w:rsidP="006A04E9">
            <w:r>
              <w:t>Build a h</w:t>
            </w:r>
            <w:r w:rsidR="00BD30C3" w:rsidRPr="00910001">
              <w:t>igh retention rate</w:t>
            </w:r>
          </w:p>
        </w:tc>
        <w:tc>
          <w:tcPr>
            <w:tcW w:w="2970" w:type="dxa"/>
            <w:vAlign w:val="center"/>
          </w:tcPr>
          <w:p w:rsidR="00BD30C3" w:rsidRPr="0078269F" w:rsidRDefault="00BD30C3" w:rsidP="00587DA8">
            <w:r w:rsidRPr="0078269F">
              <w:t xml:space="preserve">Embed performance development and review process to manage staff and volunteers, recognising performance </w:t>
            </w:r>
            <w:r w:rsidR="00677729">
              <w:t>and taking on board feedback</w:t>
            </w:r>
          </w:p>
        </w:tc>
        <w:tc>
          <w:tcPr>
            <w:tcW w:w="3870" w:type="dxa"/>
            <w:vAlign w:val="center"/>
          </w:tcPr>
          <w:p w:rsidR="00BD30C3" w:rsidRPr="0078269F" w:rsidRDefault="00BD30C3" w:rsidP="00B04AF0">
            <w:r w:rsidRPr="0078269F">
              <w:t xml:space="preserve">Continue </w:t>
            </w:r>
            <w:r w:rsidR="002A4239">
              <w:t xml:space="preserve">performance and development review </w:t>
            </w:r>
            <w:r w:rsidRPr="0078269F">
              <w:t>process, with appropriate rewards and recognition</w:t>
            </w:r>
            <w:r w:rsidR="00587DA8" w:rsidRPr="0078269F">
              <w:t>. Develo</w:t>
            </w:r>
            <w:r w:rsidR="002A4239">
              <w:t>p</w:t>
            </w:r>
            <w:r w:rsidR="00B04AF0">
              <w:t xml:space="preserve"> and monitor retention metrics.</w:t>
            </w:r>
          </w:p>
        </w:tc>
      </w:tr>
      <w:tr w:rsidR="00B04AF0" w:rsidTr="00910001">
        <w:trPr>
          <w:trHeight w:val="130"/>
        </w:trPr>
        <w:tc>
          <w:tcPr>
            <w:tcW w:w="1440" w:type="dxa"/>
            <w:vMerge/>
            <w:vAlign w:val="center"/>
          </w:tcPr>
          <w:p w:rsidR="00B04AF0" w:rsidRPr="00910001" w:rsidRDefault="00B04AF0" w:rsidP="00D91B19"/>
        </w:tc>
        <w:tc>
          <w:tcPr>
            <w:tcW w:w="1710" w:type="dxa"/>
            <w:vMerge w:val="restart"/>
            <w:vAlign w:val="center"/>
          </w:tcPr>
          <w:p w:rsidR="00B04AF0" w:rsidRDefault="00B04AF0" w:rsidP="006A04E9">
            <w:r>
              <w:t>Improve transition out</w:t>
            </w:r>
          </w:p>
        </w:tc>
        <w:tc>
          <w:tcPr>
            <w:tcW w:w="2970" w:type="dxa"/>
            <w:vAlign w:val="center"/>
          </w:tcPr>
          <w:p w:rsidR="00B04AF0" w:rsidRPr="0078269F" w:rsidRDefault="00B04AF0" w:rsidP="00B04AF0">
            <w:r>
              <w:t>Undertake exit interviews and celebrate achievements</w:t>
            </w:r>
          </w:p>
        </w:tc>
        <w:tc>
          <w:tcPr>
            <w:tcW w:w="3870" w:type="dxa"/>
            <w:vAlign w:val="center"/>
          </w:tcPr>
          <w:p w:rsidR="00B04AF0" w:rsidRPr="0078269F" w:rsidRDefault="00B04AF0" w:rsidP="002A4239">
            <w:r>
              <w:t>Exit interviews take place and feedback collated</w:t>
            </w:r>
          </w:p>
        </w:tc>
      </w:tr>
      <w:tr w:rsidR="00B04AF0" w:rsidTr="00910001">
        <w:trPr>
          <w:trHeight w:val="130"/>
        </w:trPr>
        <w:tc>
          <w:tcPr>
            <w:tcW w:w="1440" w:type="dxa"/>
            <w:vMerge/>
            <w:vAlign w:val="center"/>
          </w:tcPr>
          <w:p w:rsidR="00B04AF0" w:rsidRPr="00910001" w:rsidRDefault="00B04AF0" w:rsidP="00D91B19"/>
        </w:tc>
        <w:tc>
          <w:tcPr>
            <w:tcW w:w="1710" w:type="dxa"/>
            <w:vMerge/>
            <w:vAlign w:val="center"/>
          </w:tcPr>
          <w:p w:rsidR="00B04AF0" w:rsidRDefault="00B04AF0" w:rsidP="006A04E9"/>
        </w:tc>
        <w:tc>
          <w:tcPr>
            <w:tcW w:w="2970" w:type="dxa"/>
            <w:vAlign w:val="center"/>
          </w:tcPr>
          <w:p w:rsidR="00B04AF0" w:rsidRDefault="00B04AF0" w:rsidP="00B04AF0">
            <w:r>
              <w:t>Have courageous conversations about behaviour not aligned with our purpose, values or legal requirements</w:t>
            </w:r>
          </w:p>
        </w:tc>
        <w:tc>
          <w:tcPr>
            <w:tcW w:w="3870" w:type="dxa"/>
            <w:vAlign w:val="center"/>
          </w:tcPr>
          <w:p w:rsidR="00B04AF0" w:rsidRDefault="00677729" w:rsidP="00677729">
            <w:r>
              <w:t xml:space="preserve">Clear processes </w:t>
            </w:r>
            <w:r w:rsidR="00B72CF9">
              <w:t xml:space="preserve">are followed and </w:t>
            </w:r>
            <w:r>
              <w:t>provide e</w:t>
            </w:r>
            <w:r w:rsidR="00B04AF0">
              <w:t xml:space="preserve">arly feedback and warnings. </w:t>
            </w:r>
            <w:r>
              <w:t xml:space="preserve">Summary dismissal </w:t>
            </w:r>
            <w:r w:rsidR="00B04AF0">
              <w:t xml:space="preserve">enacted </w:t>
            </w:r>
            <w:r>
              <w:t>for serious misconduct</w:t>
            </w:r>
            <w:r w:rsidR="00B04AF0">
              <w:t>.</w:t>
            </w:r>
          </w:p>
        </w:tc>
      </w:tr>
      <w:tr w:rsidR="00BD30C3" w:rsidTr="00910001">
        <w:trPr>
          <w:trHeight w:val="110"/>
        </w:trPr>
        <w:tc>
          <w:tcPr>
            <w:tcW w:w="1440" w:type="dxa"/>
            <w:vMerge/>
            <w:vAlign w:val="center"/>
          </w:tcPr>
          <w:p w:rsidR="00BD30C3" w:rsidRPr="00910001" w:rsidRDefault="00BD30C3" w:rsidP="00D91B19"/>
        </w:tc>
        <w:tc>
          <w:tcPr>
            <w:tcW w:w="1710" w:type="dxa"/>
            <w:vAlign w:val="center"/>
          </w:tcPr>
          <w:p w:rsidR="00BD30C3" w:rsidRPr="00910001" w:rsidRDefault="00B04AF0" w:rsidP="00D91B19">
            <w:r>
              <w:t>Improve s</w:t>
            </w:r>
            <w:r w:rsidR="00BD30C3" w:rsidRPr="00910001">
              <w:t>uccession planning</w:t>
            </w:r>
          </w:p>
        </w:tc>
        <w:tc>
          <w:tcPr>
            <w:tcW w:w="2970" w:type="dxa"/>
            <w:vAlign w:val="center"/>
          </w:tcPr>
          <w:p w:rsidR="00BD30C3" w:rsidRPr="0078269F" w:rsidRDefault="00BD30C3" w:rsidP="00587DA8">
            <w:r w:rsidRPr="0078269F">
              <w:t>Development process and identification of individuals, including revision of position descriptions with consultation as appropriate</w:t>
            </w:r>
          </w:p>
        </w:tc>
        <w:tc>
          <w:tcPr>
            <w:tcW w:w="3870" w:type="dxa"/>
            <w:vAlign w:val="center"/>
          </w:tcPr>
          <w:p w:rsidR="00BD30C3" w:rsidRPr="0078269F" w:rsidRDefault="0078269F" w:rsidP="0078269F">
            <w:r w:rsidRPr="0078269F">
              <w:t>Succession</w:t>
            </w:r>
            <w:r w:rsidR="00587DA8" w:rsidRPr="0078269F">
              <w:t xml:space="preserve"> </w:t>
            </w:r>
            <w:r w:rsidRPr="0078269F">
              <w:t xml:space="preserve">planning takes place regularly </w:t>
            </w:r>
            <w:r w:rsidR="00587DA8" w:rsidRPr="0078269F">
              <w:t xml:space="preserve">for all </w:t>
            </w:r>
            <w:r w:rsidRPr="0078269F">
              <w:t xml:space="preserve">key </w:t>
            </w:r>
            <w:r w:rsidR="00587DA8" w:rsidRPr="0078269F">
              <w:t>leadership roles</w:t>
            </w:r>
          </w:p>
        </w:tc>
      </w:tr>
    </w:tbl>
    <w:p w:rsidR="00F24BE8" w:rsidRPr="00F24BE8" w:rsidRDefault="00F24BE8" w:rsidP="00F24BE8"/>
    <w:p w:rsidR="00E11874" w:rsidRDefault="00E11874">
      <w:pPr>
        <w:rPr>
          <w:b/>
          <w:color w:val="D60D8C"/>
          <w:sz w:val="24"/>
        </w:rPr>
      </w:pPr>
      <w:r>
        <w:br w:type="page"/>
      </w:r>
    </w:p>
    <w:p w:rsidR="00711E6F" w:rsidRDefault="00711E6F" w:rsidP="00711E6F">
      <w:pPr>
        <w:pStyle w:val="Heading3"/>
      </w:pPr>
      <w:r>
        <w:lastRenderedPageBreak/>
        <w:t>Infrastructure</w:t>
      </w:r>
    </w:p>
    <w:p w:rsidR="00711E6F" w:rsidRDefault="00711E6F" w:rsidP="00711E6F">
      <w:r>
        <w:t xml:space="preserve">Dream </w:t>
      </w:r>
      <w:r w:rsidRPr="00677729">
        <w:t xml:space="preserve">statement: </w:t>
      </w:r>
      <w:r w:rsidR="00BF27D4" w:rsidRPr="00677729">
        <w:t>JOY</w:t>
      </w:r>
      <w:r w:rsidR="00FE2455" w:rsidRPr="00677729">
        <w:t xml:space="preserve"> </w:t>
      </w:r>
      <w:r w:rsidR="000F617A" w:rsidRPr="00677729">
        <w:t>empower</w:t>
      </w:r>
      <w:r w:rsidR="00BF27D4" w:rsidRPr="00677729">
        <w:t>s</w:t>
      </w:r>
      <w:r w:rsidR="000F617A" w:rsidRPr="00677729">
        <w:t xml:space="preserve"> </w:t>
      </w:r>
      <w:r w:rsidR="00BF27D4" w:rsidRPr="00677729">
        <w:t xml:space="preserve">its </w:t>
      </w:r>
      <w:r w:rsidR="00FE2455" w:rsidRPr="00677729">
        <w:t xml:space="preserve">people to shine </w:t>
      </w:r>
      <w:r w:rsidR="000F617A" w:rsidRPr="00677729">
        <w:t xml:space="preserve">with </w:t>
      </w:r>
      <w:r w:rsidR="00677729" w:rsidRPr="00677729">
        <w:t xml:space="preserve">fit-for-purpose </w:t>
      </w:r>
      <w:r w:rsidR="00910001" w:rsidRPr="00677729">
        <w:t>technology</w:t>
      </w:r>
      <w:r w:rsidR="00677729" w:rsidRPr="00677729">
        <w:t xml:space="preserve"> and infrastructure</w:t>
      </w:r>
      <w:r w:rsidR="000F617A" w:rsidRPr="00677729">
        <w:t>.</w:t>
      </w:r>
    </w:p>
    <w:tbl>
      <w:tblPr>
        <w:tblStyle w:val="TableGrid"/>
        <w:tblW w:w="9990" w:type="dxa"/>
        <w:tblInd w:w="-342" w:type="dxa"/>
        <w:tblBorders>
          <w:top w:val="single" w:sz="4" w:space="0" w:color="D60D8C"/>
          <w:left w:val="single" w:sz="4" w:space="0" w:color="D60D8C"/>
          <w:bottom w:val="single" w:sz="4" w:space="0" w:color="D60D8C"/>
          <w:right w:val="single" w:sz="4" w:space="0" w:color="D60D8C"/>
          <w:insideH w:val="single" w:sz="4" w:space="0" w:color="D60D8C"/>
          <w:insideV w:val="single" w:sz="4" w:space="0" w:color="D60D8C"/>
        </w:tblBorders>
        <w:tblLook w:val="04A0" w:firstRow="1" w:lastRow="0" w:firstColumn="1" w:lastColumn="0" w:noHBand="0" w:noVBand="1"/>
      </w:tblPr>
      <w:tblGrid>
        <w:gridCol w:w="1452"/>
        <w:gridCol w:w="1709"/>
        <w:gridCol w:w="2966"/>
        <w:gridCol w:w="3863"/>
      </w:tblGrid>
      <w:tr w:rsidR="0094586A" w:rsidTr="001A63EA">
        <w:tc>
          <w:tcPr>
            <w:tcW w:w="1452" w:type="dxa"/>
            <w:shd w:val="clear" w:color="auto" w:fill="DAEEF3" w:themeFill="accent5" w:themeFillTint="33"/>
          </w:tcPr>
          <w:p w:rsidR="0094586A" w:rsidRPr="008D5920" w:rsidRDefault="00115890" w:rsidP="00D91B19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Goals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:rsidR="0094586A" w:rsidRPr="0094586A" w:rsidRDefault="0094586A" w:rsidP="00D91B19">
            <w:pPr>
              <w:rPr>
                <w:b/>
                <w:color w:val="005BAB"/>
              </w:rPr>
            </w:pPr>
            <w:r w:rsidRPr="0094586A">
              <w:rPr>
                <w:b/>
                <w:color w:val="005BAB"/>
              </w:rPr>
              <w:t>Strategies</w:t>
            </w:r>
          </w:p>
        </w:tc>
        <w:tc>
          <w:tcPr>
            <w:tcW w:w="2966" w:type="dxa"/>
            <w:shd w:val="clear" w:color="auto" w:fill="DAEEF3" w:themeFill="accent5" w:themeFillTint="33"/>
          </w:tcPr>
          <w:p w:rsidR="0094586A" w:rsidRPr="0094586A" w:rsidRDefault="0094586A" w:rsidP="00D91B19">
            <w:pPr>
              <w:rPr>
                <w:b/>
                <w:color w:val="005BAB"/>
              </w:rPr>
            </w:pPr>
            <w:r w:rsidRPr="0094586A">
              <w:rPr>
                <w:b/>
                <w:color w:val="005BAB"/>
              </w:rPr>
              <w:t>Activities</w:t>
            </w:r>
          </w:p>
        </w:tc>
        <w:tc>
          <w:tcPr>
            <w:tcW w:w="3863" w:type="dxa"/>
            <w:shd w:val="clear" w:color="auto" w:fill="DAEEF3" w:themeFill="accent5" w:themeFillTint="33"/>
          </w:tcPr>
          <w:p w:rsidR="0094586A" w:rsidRPr="0094586A" w:rsidRDefault="00115890" w:rsidP="00D91B19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Measures</w:t>
            </w:r>
          </w:p>
        </w:tc>
      </w:tr>
      <w:tr w:rsidR="0094586A" w:rsidTr="000F617A">
        <w:trPr>
          <w:trHeight w:val="130"/>
        </w:trPr>
        <w:tc>
          <w:tcPr>
            <w:tcW w:w="1452" w:type="dxa"/>
            <w:vMerge w:val="restart"/>
            <w:vAlign w:val="center"/>
          </w:tcPr>
          <w:p w:rsidR="0094586A" w:rsidRPr="00B72CF9" w:rsidRDefault="001A63EA" w:rsidP="00976FB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detailed technology strategy</w:t>
            </w:r>
          </w:p>
        </w:tc>
        <w:tc>
          <w:tcPr>
            <w:tcW w:w="1709" w:type="dxa"/>
            <w:vAlign w:val="center"/>
          </w:tcPr>
          <w:p w:rsidR="0094586A" w:rsidRPr="00B72CF9" w:rsidRDefault="001A63E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Audit existing </w:t>
            </w:r>
            <w:r w:rsidR="000F617A" w:rsidRPr="00B72CF9">
              <w:rPr>
                <w:rFonts w:ascii="Calibri" w:hAnsi="Calibri"/>
              </w:rPr>
              <w:t>technology</w:t>
            </w:r>
          </w:p>
        </w:tc>
        <w:tc>
          <w:tcPr>
            <w:tcW w:w="2966" w:type="dxa"/>
            <w:vAlign w:val="center"/>
          </w:tcPr>
          <w:p w:rsidR="0094586A" w:rsidRPr="00B72CF9" w:rsidRDefault="001A63E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Understand and measure current </w:t>
            </w:r>
            <w:r w:rsidR="000F617A" w:rsidRPr="00B72CF9">
              <w:rPr>
                <w:rFonts w:ascii="Calibri" w:hAnsi="Calibri"/>
              </w:rPr>
              <w:t>technology</w:t>
            </w:r>
          </w:p>
        </w:tc>
        <w:tc>
          <w:tcPr>
            <w:tcW w:w="3863" w:type="dxa"/>
            <w:vAlign w:val="center"/>
          </w:tcPr>
          <w:p w:rsidR="0094586A" w:rsidRPr="00B72CF9" w:rsidRDefault="001A63E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Audit completed</w:t>
            </w:r>
          </w:p>
        </w:tc>
      </w:tr>
      <w:tr w:rsidR="0094586A" w:rsidTr="000F617A">
        <w:trPr>
          <w:trHeight w:val="220"/>
        </w:trPr>
        <w:tc>
          <w:tcPr>
            <w:tcW w:w="1452" w:type="dxa"/>
            <w:vMerge/>
            <w:vAlign w:val="center"/>
          </w:tcPr>
          <w:p w:rsidR="0094586A" w:rsidRPr="00B72CF9" w:rsidRDefault="0094586A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94586A" w:rsidRPr="00B72CF9" w:rsidRDefault="001A63EA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strategy</w:t>
            </w:r>
          </w:p>
        </w:tc>
        <w:tc>
          <w:tcPr>
            <w:tcW w:w="2966" w:type="dxa"/>
            <w:vAlign w:val="center"/>
          </w:tcPr>
          <w:p w:rsidR="0094586A" w:rsidRPr="00B72CF9" w:rsidRDefault="001A63EA" w:rsidP="001A63E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Consultation and development of strategy</w:t>
            </w:r>
          </w:p>
        </w:tc>
        <w:tc>
          <w:tcPr>
            <w:tcW w:w="3863" w:type="dxa"/>
            <w:vAlign w:val="center"/>
          </w:tcPr>
          <w:p w:rsidR="0094586A" w:rsidRPr="00B72CF9" w:rsidRDefault="001A63E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Strategy completed</w:t>
            </w:r>
            <w:r w:rsidR="000F617A" w:rsidRPr="00B72CF9">
              <w:rPr>
                <w:rFonts w:ascii="Calibri" w:hAnsi="Calibri"/>
              </w:rPr>
              <w:t xml:space="preserve"> and implemented</w:t>
            </w:r>
          </w:p>
        </w:tc>
      </w:tr>
      <w:tr w:rsidR="000F617A" w:rsidTr="000F617A">
        <w:trPr>
          <w:trHeight w:val="377"/>
        </w:trPr>
        <w:tc>
          <w:tcPr>
            <w:tcW w:w="1452" w:type="dxa"/>
            <w:vMerge w:val="restart"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Minimise risk and balance with cost</w:t>
            </w:r>
          </w:p>
        </w:tc>
        <w:tc>
          <w:tcPr>
            <w:tcW w:w="1709" w:type="dxa"/>
            <w:vMerge w:val="restart"/>
            <w:vAlign w:val="center"/>
          </w:tcPr>
          <w:p w:rsidR="000F617A" w:rsidRPr="00B72CF9" w:rsidRDefault="000F617A" w:rsidP="00FE245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risk management planning</w:t>
            </w:r>
          </w:p>
        </w:tc>
        <w:tc>
          <w:tcPr>
            <w:tcW w:w="2966" w:type="dxa"/>
            <w:vAlign w:val="center"/>
          </w:tcPr>
          <w:p w:rsidR="000F617A" w:rsidRPr="00B72CF9" w:rsidRDefault="000F617A" w:rsidP="00587DA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Maintenance planning</w:t>
            </w:r>
          </w:p>
        </w:tc>
        <w:tc>
          <w:tcPr>
            <w:tcW w:w="3863" w:type="dxa"/>
            <w:vMerge w:val="restart"/>
            <w:vAlign w:val="center"/>
          </w:tcPr>
          <w:p w:rsidR="000F617A" w:rsidRPr="00B72CF9" w:rsidRDefault="000F617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Integration with risk management framework</w:t>
            </w:r>
          </w:p>
        </w:tc>
      </w:tr>
      <w:tr w:rsidR="000F617A" w:rsidTr="000F617A">
        <w:trPr>
          <w:trHeight w:val="120"/>
        </w:trPr>
        <w:tc>
          <w:tcPr>
            <w:tcW w:w="1452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2966" w:type="dxa"/>
            <w:vAlign w:val="center"/>
          </w:tcPr>
          <w:p w:rsidR="000F617A" w:rsidRPr="00B72CF9" w:rsidRDefault="000F617A" w:rsidP="00587DA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Disaster recover planning</w:t>
            </w:r>
          </w:p>
        </w:tc>
        <w:tc>
          <w:tcPr>
            <w:tcW w:w="3863" w:type="dxa"/>
            <w:vMerge/>
            <w:vAlign w:val="center"/>
          </w:tcPr>
          <w:p w:rsidR="000F617A" w:rsidRPr="00B72CF9" w:rsidRDefault="000F617A" w:rsidP="000F617A">
            <w:pPr>
              <w:rPr>
                <w:rFonts w:ascii="Calibri" w:hAnsi="Calibri"/>
              </w:rPr>
            </w:pPr>
          </w:p>
        </w:tc>
      </w:tr>
      <w:tr w:rsidR="000F617A" w:rsidTr="000F617A">
        <w:trPr>
          <w:trHeight w:val="120"/>
        </w:trPr>
        <w:tc>
          <w:tcPr>
            <w:tcW w:w="1452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Improve redundancy</w:t>
            </w:r>
          </w:p>
        </w:tc>
        <w:tc>
          <w:tcPr>
            <w:tcW w:w="2966" w:type="dxa"/>
            <w:vAlign w:val="center"/>
          </w:tcPr>
          <w:p w:rsidR="000F617A" w:rsidRPr="00B72CF9" w:rsidRDefault="000F617A" w:rsidP="00587DA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Improve commercial redundancy </w:t>
            </w:r>
          </w:p>
        </w:tc>
        <w:tc>
          <w:tcPr>
            <w:tcW w:w="3863" w:type="dxa"/>
            <w:vMerge w:val="restart"/>
            <w:vAlign w:val="center"/>
          </w:tcPr>
          <w:p w:rsidR="000F617A" w:rsidRPr="00B72CF9" w:rsidRDefault="000F617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Redundancy measures developed and monitored</w:t>
            </w:r>
          </w:p>
        </w:tc>
      </w:tr>
      <w:tr w:rsidR="000F617A" w:rsidTr="000F617A">
        <w:trPr>
          <w:trHeight w:val="120"/>
        </w:trPr>
        <w:tc>
          <w:tcPr>
            <w:tcW w:w="1452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2966" w:type="dxa"/>
            <w:vAlign w:val="center"/>
          </w:tcPr>
          <w:p w:rsidR="000F617A" w:rsidRPr="00B72CF9" w:rsidRDefault="000F617A" w:rsidP="00587DA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Improve technology redundancy</w:t>
            </w:r>
          </w:p>
        </w:tc>
        <w:tc>
          <w:tcPr>
            <w:tcW w:w="3863" w:type="dxa"/>
            <w:vMerge/>
            <w:vAlign w:val="center"/>
          </w:tcPr>
          <w:p w:rsidR="000F617A" w:rsidRPr="00B72CF9" w:rsidRDefault="000F617A" w:rsidP="000F617A">
            <w:pPr>
              <w:rPr>
                <w:rFonts w:ascii="Calibri" w:hAnsi="Calibri"/>
              </w:rPr>
            </w:pPr>
          </w:p>
        </w:tc>
      </w:tr>
      <w:tr w:rsidR="000F617A" w:rsidTr="000F617A">
        <w:trPr>
          <w:trHeight w:val="120"/>
        </w:trPr>
        <w:tc>
          <w:tcPr>
            <w:tcW w:w="1452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Manage technology lifecycle issues</w:t>
            </w:r>
          </w:p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2966" w:type="dxa"/>
            <w:vAlign w:val="center"/>
          </w:tcPr>
          <w:p w:rsidR="000F617A" w:rsidRPr="00B72CF9" w:rsidRDefault="000F617A" w:rsidP="00587DA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Strengthen procurement processes</w:t>
            </w:r>
          </w:p>
        </w:tc>
        <w:tc>
          <w:tcPr>
            <w:tcW w:w="3863" w:type="dxa"/>
            <w:vMerge w:val="restart"/>
            <w:vAlign w:val="center"/>
          </w:tcPr>
          <w:p w:rsidR="000F617A" w:rsidRPr="00B72CF9" w:rsidRDefault="000F617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Lifecycle reporting developed and monitored</w:t>
            </w:r>
          </w:p>
        </w:tc>
      </w:tr>
      <w:tr w:rsidR="000F617A" w:rsidTr="000F617A">
        <w:trPr>
          <w:trHeight w:val="170"/>
        </w:trPr>
        <w:tc>
          <w:tcPr>
            <w:tcW w:w="1452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2966" w:type="dxa"/>
            <w:vAlign w:val="center"/>
          </w:tcPr>
          <w:p w:rsidR="000F617A" w:rsidRPr="00B72CF9" w:rsidRDefault="000F617A" w:rsidP="00587DA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Manage change well</w:t>
            </w:r>
          </w:p>
        </w:tc>
        <w:tc>
          <w:tcPr>
            <w:tcW w:w="3863" w:type="dxa"/>
            <w:vMerge/>
            <w:vAlign w:val="center"/>
          </w:tcPr>
          <w:p w:rsidR="000F617A" w:rsidRPr="00B72CF9" w:rsidRDefault="000F617A" w:rsidP="000F617A">
            <w:pPr>
              <w:rPr>
                <w:rFonts w:ascii="Calibri" w:hAnsi="Calibri"/>
              </w:rPr>
            </w:pPr>
          </w:p>
        </w:tc>
      </w:tr>
      <w:tr w:rsidR="000F617A" w:rsidTr="000F617A">
        <w:trPr>
          <w:trHeight w:val="79"/>
        </w:trPr>
        <w:tc>
          <w:tcPr>
            <w:tcW w:w="1452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Merge/>
            <w:vAlign w:val="center"/>
          </w:tcPr>
          <w:p w:rsidR="000F617A" w:rsidRPr="00B72CF9" w:rsidRDefault="000F617A" w:rsidP="00D91B19">
            <w:pPr>
              <w:rPr>
                <w:rFonts w:ascii="Calibri" w:hAnsi="Calibri"/>
              </w:rPr>
            </w:pPr>
          </w:p>
        </w:tc>
        <w:tc>
          <w:tcPr>
            <w:tcW w:w="2966" w:type="dxa"/>
            <w:vAlign w:val="center"/>
          </w:tcPr>
          <w:p w:rsidR="000F617A" w:rsidRPr="00B72CF9" w:rsidRDefault="000F617A" w:rsidP="00587DA8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Consolidate</w:t>
            </w:r>
            <w:r w:rsidR="002C7793" w:rsidRPr="00B72CF9">
              <w:rPr>
                <w:rFonts w:ascii="Calibri" w:hAnsi="Calibri"/>
              </w:rPr>
              <w:t xml:space="preserve"> existing technologies</w:t>
            </w:r>
          </w:p>
        </w:tc>
        <w:tc>
          <w:tcPr>
            <w:tcW w:w="3863" w:type="dxa"/>
            <w:vMerge/>
            <w:vAlign w:val="center"/>
          </w:tcPr>
          <w:p w:rsidR="000F617A" w:rsidRPr="00B72CF9" w:rsidRDefault="000F617A" w:rsidP="000F617A">
            <w:pPr>
              <w:rPr>
                <w:rFonts w:ascii="Calibri" w:hAnsi="Calibri"/>
              </w:rPr>
            </w:pPr>
          </w:p>
        </w:tc>
      </w:tr>
      <w:tr w:rsidR="00FE2455" w:rsidTr="000F617A">
        <w:trPr>
          <w:trHeight w:val="290"/>
        </w:trPr>
        <w:tc>
          <w:tcPr>
            <w:tcW w:w="1452" w:type="dxa"/>
            <w:vMerge w:val="restart"/>
            <w:vAlign w:val="center"/>
          </w:tcPr>
          <w:p w:rsidR="00FE2455" w:rsidRPr="00B72CF9" w:rsidRDefault="000F617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robust processes, procedures,</w:t>
            </w:r>
            <w:r w:rsidR="00FE2455" w:rsidRPr="00B72CF9">
              <w:rPr>
                <w:rFonts w:ascii="Calibri" w:hAnsi="Calibri"/>
              </w:rPr>
              <w:t xml:space="preserve"> and</w:t>
            </w:r>
            <w:r w:rsidRPr="00B72CF9">
              <w:rPr>
                <w:rFonts w:ascii="Calibri" w:hAnsi="Calibri"/>
              </w:rPr>
              <w:t xml:space="preserve"> </w:t>
            </w:r>
            <w:r w:rsidR="00FE2455" w:rsidRPr="00B72CF9">
              <w:rPr>
                <w:rFonts w:ascii="Calibri" w:hAnsi="Calibri"/>
              </w:rPr>
              <w:t>repeatability</w:t>
            </w:r>
          </w:p>
        </w:tc>
        <w:tc>
          <w:tcPr>
            <w:tcW w:w="1709" w:type="dxa"/>
            <w:vAlign w:val="center"/>
          </w:tcPr>
          <w:p w:rsidR="00FE2455" w:rsidRPr="00B72CF9" w:rsidRDefault="00FE2455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knowledge and skills</w:t>
            </w:r>
          </w:p>
        </w:tc>
        <w:tc>
          <w:tcPr>
            <w:tcW w:w="2966" w:type="dxa"/>
            <w:vAlign w:val="center"/>
          </w:tcPr>
          <w:p w:rsidR="00FE2455" w:rsidRPr="00B72CF9" w:rsidRDefault="00FE2455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Develop training</w:t>
            </w:r>
          </w:p>
        </w:tc>
        <w:tc>
          <w:tcPr>
            <w:tcW w:w="3863" w:type="dxa"/>
            <w:vAlign w:val="center"/>
          </w:tcPr>
          <w:p w:rsidR="00FE2455" w:rsidRPr="00B72CF9" w:rsidRDefault="00FE2455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Training developed and delivered</w:t>
            </w:r>
          </w:p>
        </w:tc>
      </w:tr>
      <w:tr w:rsidR="00FE2455" w:rsidTr="000F617A">
        <w:trPr>
          <w:trHeight w:val="290"/>
        </w:trPr>
        <w:tc>
          <w:tcPr>
            <w:tcW w:w="1452" w:type="dxa"/>
            <w:vMerge/>
            <w:vAlign w:val="center"/>
          </w:tcPr>
          <w:p w:rsidR="00FE2455" w:rsidRPr="00B72CF9" w:rsidRDefault="00FE2455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FE2455" w:rsidRPr="00B72CF9" w:rsidRDefault="00FE2455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Act to reduce risk</w:t>
            </w:r>
          </w:p>
        </w:tc>
        <w:tc>
          <w:tcPr>
            <w:tcW w:w="2966" w:type="dxa"/>
            <w:vAlign w:val="center"/>
          </w:tcPr>
          <w:p w:rsidR="00FE2455" w:rsidRPr="00B72CF9" w:rsidRDefault="00C33C2D" w:rsidP="00C33C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Document and share </w:t>
            </w:r>
            <w:r w:rsidR="00FE2455" w:rsidRPr="00B72CF9">
              <w:rPr>
                <w:rFonts w:ascii="Calibri" w:hAnsi="Calibri"/>
              </w:rPr>
              <w:t>peoples’ knowledge</w:t>
            </w:r>
          </w:p>
        </w:tc>
        <w:tc>
          <w:tcPr>
            <w:tcW w:w="3863" w:type="dxa"/>
            <w:vAlign w:val="center"/>
          </w:tcPr>
          <w:p w:rsidR="00FE2455" w:rsidRPr="00B72CF9" w:rsidRDefault="000F617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Manuals and other materials developed</w:t>
            </w:r>
          </w:p>
        </w:tc>
      </w:tr>
      <w:tr w:rsidR="00FE2455" w:rsidTr="000F617A">
        <w:trPr>
          <w:trHeight w:val="241"/>
        </w:trPr>
        <w:tc>
          <w:tcPr>
            <w:tcW w:w="1452" w:type="dxa"/>
            <w:vMerge w:val="restart"/>
            <w:vAlign w:val="center"/>
          </w:tcPr>
          <w:p w:rsidR="00FE2455" w:rsidRPr="00B72CF9" w:rsidRDefault="00FE2455" w:rsidP="00FE245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engagement in station’s infrastructure strategy</w:t>
            </w:r>
          </w:p>
        </w:tc>
        <w:tc>
          <w:tcPr>
            <w:tcW w:w="1709" w:type="dxa"/>
            <w:vAlign w:val="center"/>
          </w:tcPr>
          <w:p w:rsidR="00FE2455" w:rsidRPr="00B72CF9" w:rsidRDefault="00FE2455" w:rsidP="00FE245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Build Board oversight</w:t>
            </w:r>
          </w:p>
        </w:tc>
        <w:tc>
          <w:tcPr>
            <w:tcW w:w="2966" w:type="dxa"/>
            <w:vAlign w:val="center"/>
          </w:tcPr>
          <w:p w:rsidR="00FE2455" w:rsidRPr="00B72CF9" w:rsidRDefault="00FE2455" w:rsidP="001A63E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Establish a regular governance Committee or advisory working group</w:t>
            </w:r>
          </w:p>
        </w:tc>
        <w:tc>
          <w:tcPr>
            <w:tcW w:w="3863" w:type="dxa"/>
            <w:vAlign w:val="center"/>
          </w:tcPr>
          <w:p w:rsidR="00FE2455" w:rsidRPr="00B72CF9" w:rsidRDefault="00FE2455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Governance structure improved</w:t>
            </w:r>
          </w:p>
        </w:tc>
      </w:tr>
      <w:tr w:rsidR="00FE2455" w:rsidTr="000F617A">
        <w:trPr>
          <w:trHeight w:val="241"/>
        </w:trPr>
        <w:tc>
          <w:tcPr>
            <w:tcW w:w="1452" w:type="dxa"/>
            <w:vMerge/>
            <w:vAlign w:val="center"/>
          </w:tcPr>
          <w:p w:rsidR="00FE2455" w:rsidRPr="00B72CF9" w:rsidRDefault="00FE2455" w:rsidP="00D91B19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FE2455" w:rsidRPr="00B72CF9" w:rsidRDefault="00FE2455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Introduce new technology</w:t>
            </w:r>
          </w:p>
        </w:tc>
        <w:tc>
          <w:tcPr>
            <w:tcW w:w="2966" w:type="dxa"/>
            <w:vAlign w:val="center"/>
          </w:tcPr>
          <w:p w:rsidR="00FE2455" w:rsidRPr="00B72CF9" w:rsidRDefault="000F617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Stakeholder engagement strategy developed</w:t>
            </w:r>
          </w:p>
        </w:tc>
        <w:tc>
          <w:tcPr>
            <w:tcW w:w="3863" w:type="dxa"/>
            <w:vAlign w:val="center"/>
          </w:tcPr>
          <w:p w:rsidR="00FE2455" w:rsidRPr="00B72CF9" w:rsidRDefault="000F617A" w:rsidP="000F617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Strategy completed and implemented</w:t>
            </w:r>
          </w:p>
        </w:tc>
      </w:tr>
    </w:tbl>
    <w:p w:rsidR="00711E6F" w:rsidRDefault="00711E6F" w:rsidP="00F24BE8"/>
    <w:p w:rsidR="00E11874" w:rsidRDefault="00E11874">
      <w:pPr>
        <w:rPr>
          <w:b/>
          <w:color w:val="D60D8C"/>
          <w:sz w:val="24"/>
        </w:rPr>
      </w:pPr>
      <w:r>
        <w:br w:type="page"/>
      </w:r>
    </w:p>
    <w:p w:rsidR="00711E6F" w:rsidRDefault="00711E6F" w:rsidP="00711E6F">
      <w:pPr>
        <w:pStyle w:val="Heading3"/>
      </w:pPr>
      <w:r>
        <w:lastRenderedPageBreak/>
        <w:t>Governance</w:t>
      </w:r>
    </w:p>
    <w:p w:rsidR="00711E6F" w:rsidRDefault="00711E6F" w:rsidP="00711E6F">
      <w:r>
        <w:t xml:space="preserve">Dream statement: </w:t>
      </w:r>
      <w:r w:rsidR="00115890" w:rsidRPr="00115890">
        <w:t>JOY is governed according to our purpose and values, with strong oversight supporting clear strategy and long-term sustainability.</w:t>
      </w:r>
    </w:p>
    <w:tbl>
      <w:tblPr>
        <w:tblStyle w:val="TableGrid"/>
        <w:tblW w:w="9990" w:type="dxa"/>
        <w:tblInd w:w="-342" w:type="dxa"/>
        <w:tblBorders>
          <w:top w:val="single" w:sz="4" w:space="0" w:color="D60D8C"/>
          <w:left w:val="single" w:sz="4" w:space="0" w:color="D60D8C"/>
          <w:bottom w:val="single" w:sz="4" w:space="0" w:color="D60D8C"/>
          <w:right w:val="single" w:sz="4" w:space="0" w:color="D60D8C"/>
          <w:insideH w:val="single" w:sz="4" w:space="0" w:color="D60D8C"/>
          <w:insideV w:val="single" w:sz="4" w:space="0" w:color="D60D8C"/>
        </w:tblBorders>
        <w:tblLook w:val="04A0" w:firstRow="1" w:lastRow="0" w:firstColumn="1" w:lastColumn="0" w:noHBand="0" w:noVBand="1"/>
      </w:tblPr>
      <w:tblGrid>
        <w:gridCol w:w="1440"/>
        <w:gridCol w:w="1710"/>
        <w:gridCol w:w="2970"/>
        <w:gridCol w:w="3870"/>
      </w:tblGrid>
      <w:tr w:rsidR="001A63EA" w:rsidTr="001A63EA">
        <w:tc>
          <w:tcPr>
            <w:tcW w:w="1440" w:type="dxa"/>
            <w:shd w:val="clear" w:color="auto" w:fill="DAEEF3" w:themeFill="accent5" w:themeFillTint="33"/>
          </w:tcPr>
          <w:p w:rsidR="001A63EA" w:rsidRPr="008D5920" w:rsidRDefault="00115890" w:rsidP="00D91B19">
            <w:pPr>
              <w:rPr>
                <w:b/>
                <w:color w:val="005BAB"/>
              </w:rPr>
            </w:pPr>
            <w:r>
              <w:rPr>
                <w:b/>
                <w:color w:val="005BAB"/>
              </w:rPr>
              <w:t>Goals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1A63EA" w:rsidRPr="001A63EA" w:rsidRDefault="001A63EA" w:rsidP="00D91B19">
            <w:pPr>
              <w:rPr>
                <w:b/>
                <w:color w:val="005BAB"/>
              </w:rPr>
            </w:pPr>
            <w:r w:rsidRPr="001A63EA">
              <w:rPr>
                <w:b/>
                <w:color w:val="005BAB"/>
              </w:rPr>
              <w:t>Strategies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1A63EA" w:rsidRPr="001A63EA" w:rsidRDefault="001A63EA" w:rsidP="00D91B19">
            <w:pPr>
              <w:rPr>
                <w:b/>
                <w:color w:val="005BAB"/>
              </w:rPr>
            </w:pPr>
            <w:r w:rsidRPr="001A63EA">
              <w:rPr>
                <w:b/>
                <w:color w:val="005BAB"/>
              </w:rPr>
              <w:t>Activities</w:t>
            </w:r>
          </w:p>
        </w:tc>
        <w:tc>
          <w:tcPr>
            <w:tcW w:w="3870" w:type="dxa"/>
            <w:shd w:val="clear" w:color="auto" w:fill="DAEEF3" w:themeFill="accent5" w:themeFillTint="33"/>
          </w:tcPr>
          <w:p w:rsidR="001A63EA" w:rsidRPr="00115890" w:rsidRDefault="00115890" w:rsidP="00D91B19">
            <w:r>
              <w:rPr>
                <w:b/>
                <w:color w:val="005BAB"/>
              </w:rPr>
              <w:t>Measures</w:t>
            </w:r>
          </w:p>
        </w:tc>
      </w:tr>
      <w:tr w:rsidR="00586372" w:rsidTr="00A60A20">
        <w:trPr>
          <w:trHeight w:val="130"/>
        </w:trPr>
        <w:tc>
          <w:tcPr>
            <w:tcW w:w="1440" w:type="dxa"/>
            <w:vMerge w:val="restart"/>
            <w:vAlign w:val="center"/>
          </w:tcPr>
          <w:p w:rsidR="00586372" w:rsidRPr="00B72CF9" w:rsidRDefault="00586372" w:rsidP="00976FBA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Financial sustainability</w:t>
            </w:r>
          </w:p>
          <w:p w:rsidR="00586372" w:rsidRPr="00B72CF9" w:rsidRDefault="00586372" w:rsidP="00976FB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86372" w:rsidRPr="00B72CF9" w:rsidRDefault="00586372" w:rsidP="00A60A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Generate sustainable surplus levels</w:t>
            </w:r>
          </w:p>
        </w:tc>
        <w:tc>
          <w:tcPr>
            <w:tcW w:w="2970" w:type="dxa"/>
            <w:vAlign w:val="center"/>
          </w:tcPr>
          <w:p w:rsidR="00586372" w:rsidRPr="00B72CF9" w:rsidRDefault="0087385F" w:rsidP="00586372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G</w:t>
            </w:r>
            <w:r w:rsidR="00586372" w:rsidRPr="00B72CF9">
              <w:rPr>
                <w:rFonts w:ascii="Calibri" w:hAnsi="Calibri"/>
              </w:rPr>
              <w:t>row net surplus</w:t>
            </w:r>
          </w:p>
        </w:tc>
        <w:tc>
          <w:tcPr>
            <w:tcW w:w="3870" w:type="dxa"/>
            <w:vAlign w:val="center"/>
          </w:tcPr>
          <w:p w:rsidR="00586372" w:rsidRPr="00B72CF9" w:rsidRDefault="006D22E1" w:rsidP="00DC0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Grow net surplus 5-10% year on year</w:t>
            </w:r>
          </w:p>
        </w:tc>
      </w:tr>
      <w:tr w:rsidR="00586372" w:rsidTr="00A60A20">
        <w:trPr>
          <w:trHeight w:val="220"/>
        </w:trPr>
        <w:tc>
          <w:tcPr>
            <w:tcW w:w="1440" w:type="dxa"/>
            <w:vMerge/>
            <w:vAlign w:val="center"/>
          </w:tcPr>
          <w:p w:rsidR="00586372" w:rsidRPr="00B72CF9" w:rsidRDefault="00586372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86372" w:rsidRPr="00B72CF9" w:rsidRDefault="00586372" w:rsidP="0075463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Generate sustainable cash levels</w:t>
            </w:r>
          </w:p>
        </w:tc>
        <w:tc>
          <w:tcPr>
            <w:tcW w:w="2970" w:type="dxa"/>
            <w:vAlign w:val="center"/>
          </w:tcPr>
          <w:p w:rsidR="00586372" w:rsidRPr="00B72CF9" w:rsidRDefault="00586372" w:rsidP="0087385F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Grow cash </w:t>
            </w:r>
            <w:r w:rsidR="0087385F" w:rsidRPr="00B72CF9">
              <w:rPr>
                <w:rFonts w:ascii="Calibri" w:hAnsi="Calibri"/>
              </w:rPr>
              <w:t xml:space="preserve">income </w:t>
            </w:r>
            <w:r w:rsidRPr="00B72CF9">
              <w:rPr>
                <w:rFonts w:ascii="Calibri" w:hAnsi="Calibri"/>
              </w:rPr>
              <w:t>levels</w:t>
            </w:r>
          </w:p>
        </w:tc>
        <w:tc>
          <w:tcPr>
            <w:tcW w:w="3870" w:type="dxa"/>
            <w:vAlign w:val="center"/>
          </w:tcPr>
          <w:p w:rsidR="00586372" w:rsidRPr="00B72CF9" w:rsidRDefault="00586372" w:rsidP="00DC0BB1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Grow </w:t>
            </w:r>
            <w:r w:rsidR="00DC0BB1">
              <w:rPr>
                <w:rFonts w:ascii="Calibri" w:hAnsi="Calibri"/>
              </w:rPr>
              <w:t xml:space="preserve">net </w:t>
            </w:r>
            <w:r w:rsidRPr="00B72CF9">
              <w:rPr>
                <w:rFonts w:ascii="Calibri" w:hAnsi="Calibri"/>
              </w:rPr>
              <w:t xml:space="preserve">cash </w:t>
            </w:r>
            <w:r w:rsidR="0087385F" w:rsidRPr="00B72CF9">
              <w:rPr>
                <w:rFonts w:ascii="Calibri" w:hAnsi="Calibri"/>
              </w:rPr>
              <w:t xml:space="preserve">income </w:t>
            </w:r>
            <w:r w:rsidRPr="00B72CF9">
              <w:rPr>
                <w:rFonts w:ascii="Calibri" w:hAnsi="Calibri"/>
              </w:rPr>
              <w:t>by 5-10% year on year (current</w:t>
            </w:r>
            <w:r w:rsidR="00086A05" w:rsidRPr="00B72CF9">
              <w:rPr>
                <w:rFonts w:ascii="Calibri" w:hAnsi="Calibri"/>
              </w:rPr>
              <w:t>ly</w:t>
            </w:r>
            <w:r w:rsidR="006D22E1">
              <w:rPr>
                <w:rFonts w:ascii="Calibri" w:hAnsi="Calibri"/>
              </w:rPr>
              <w:t xml:space="preserve"> $</w:t>
            </w:r>
            <w:r w:rsidR="00DC0BB1">
              <w:rPr>
                <w:rFonts w:ascii="Calibri" w:hAnsi="Calibri"/>
              </w:rPr>
              <w:t>22</w:t>
            </w:r>
            <w:r w:rsidR="006D22E1">
              <w:rPr>
                <w:rFonts w:ascii="Calibri" w:hAnsi="Calibri"/>
              </w:rPr>
              <w:t>k</w:t>
            </w:r>
            <w:r w:rsidRPr="00B72CF9">
              <w:rPr>
                <w:rFonts w:ascii="Calibri" w:hAnsi="Calibri"/>
              </w:rPr>
              <w:t>)</w:t>
            </w:r>
          </w:p>
        </w:tc>
      </w:tr>
      <w:tr w:rsidR="00586372" w:rsidTr="00A60A20">
        <w:trPr>
          <w:trHeight w:val="710"/>
        </w:trPr>
        <w:tc>
          <w:tcPr>
            <w:tcW w:w="1440" w:type="dxa"/>
            <w:vMerge/>
            <w:vAlign w:val="center"/>
          </w:tcPr>
          <w:p w:rsidR="00586372" w:rsidRPr="00B72CF9" w:rsidRDefault="00586372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86372" w:rsidRPr="00B72CF9" w:rsidRDefault="00586372" w:rsidP="00586372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Manage, protect and replace net assets to sustain and grow core business</w:t>
            </w:r>
          </w:p>
        </w:tc>
        <w:tc>
          <w:tcPr>
            <w:tcW w:w="2970" w:type="dxa"/>
            <w:vAlign w:val="center"/>
          </w:tcPr>
          <w:p w:rsidR="00586372" w:rsidRPr="00B72CF9" w:rsidRDefault="00586372" w:rsidP="00A60A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Manage, protect and replace net assets to sustain and grow core business</w:t>
            </w:r>
          </w:p>
        </w:tc>
        <w:tc>
          <w:tcPr>
            <w:tcW w:w="3870" w:type="dxa"/>
            <w:vAlign w:val="center"/>
          </w:tcPr>
          <w:p w:rsidR="00586372" w:rsidRPr="00B72CF9" w:rsidRDefault="00586372" w:rsidP="00DC0BB1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Ensure cash management to meet asset replacement needs</w:t>
            </w:r>
            <w:r w:rsidR="0087385F" w:rsidRPr="00B72CF9">
              <w:rPr>
                <w:rFonts w:ascii="Calibri" w:hAnsi="Calibri"/>
              </w:rPr>
              <w:t xml:space="preserve"> (current</w:t>
            </w:r>
            <w:r w:rsidR="00086A05" w:rsidRPr="00B72CF9">
              <w:rPr>
                <w:rFonts w:ascii="Calibri" w:hAnsi="Calibri"/>
              </w:rPr>
              <w:t>ly</w:t>
            </w:r>
            <w:r w:rsidR="006D22E1">
              <w:rPr>
                <w:rFonts w:ascii="Calibri" w:hAnsi="Calibri"/>
              </w:rPr>
              <w:t xml:space="preserve"> $316k</w:t>
            </w:r>
            <w:r w:rsidR="0087385F" w:rsidRPr="00B72CF9">
              <w:rPr>
                <w:rFonts w:ascii="Calibri" w:hAnsi="Calibri"/>
              </w:rPr>
              <w:t>)</w:t>
            </w:r>
          </w:p>
        </w:tc>
      </w:tr>
      <w:tr w:rsidR="00586372" w:rsidTr="00A60A20">
        <w:trPr>
          <w:trHeight w:val="360"/>
        </w:trPr>
        <w:tc>
          <w:tcPr>
            <w:tcW w:w="1440" w:type="dxa"/>
            <w:vMerge/>
            <w:vAlign w:val="center"/>
          </w:tcPr>
          <w:p w:rsidR="00586372" w:rsidRPr="00B72CF9" w:rsidRDefault="00586372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86372" w:rsidRPr="00B72CF9" w:rsidRDefault="00586372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Set and meet increased investment goals</w:t>
            </w:r>
          </w:p>
        </w:tc>
        <w:tc>
          <w:tcPr>
            <w:tcW w:w="2970" w:type="dxa"/>
            <w:vAlign w:val="center"/>
          </w:tcPr>
          <w:p w:rsidR="00586372" w:rsidRPr="00B72CF9" w:rsidRDefault="00586372" w:rsidP="00A60A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Surplus cash held in low risk cash management</w:t>
            </w:r>
          </w:p>
        </w:tc>
        <w:tc>
          <w:tcPr>
            <w:tcW w:w="3870" w:type="dxa"/>
            <w:vAlign w:val="center"/>
          </w:tcPr>
          <w:p w:rsidR="00586372" w:rsidRPr="00B72CF9" w:rsidRDefault="00586372" w:rsidP="00DC0BB1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Increase </w:t>
            </w:r>
            <w:r w:rsidR="0087385F" w:rsidRPr="00B72CF9">
              <w:rPr>
                <w:rFonts w:ascii="Calibri" w:hAnsi="Calibri"/>
              </w:rPr>
              <w:t>investment</w:t>
            </w:r>
            <w:r w:rsidRPr="00B72CF9">
              <w:rPr>
                <w:rFonts w:ascii="Calibri" w:hAnsi="Calibri"/>
              </w:rPr>
              <w:t xml:space="preserve"> </w:t>
            </w:r>
            <w:r w:rsidR="0087385F" w:rsidRPr="00B72CF9">
              <w:rPr>
                <w:rFonts w:ascii="Calibri" w:hAnsi="Calibri"/>
              </w:rPr>
              <w:t>(</w:t>
            </w:r>
            <w:r w:rsidRPr="00B72CF9">
              <w:rPr>
                <w:rFonts w:ascii="Calibri" w:hAnsi="Calibri"/>
              </w:rPr>
              <w:t>current</w:t>
            </w:r>
            <w:r w:rsidR="00086A05" w:rsidRPr="00B72CF9">
              <w:rPr>
                <w:rFonts w:ascii="Calibri" w:hAnsi="Calibri"/>
              </w:rPr>
              <w:t>ly</w:t>
            </w:r>
            <w:r w:rsidRPr="00B72CF9">
              <w:rPr>
                <w:rFonts w:ascii="Calibri" w:hAnsi="Calibri"/>
              </w:rPr>
              <w:t xml:space="preserve"> </w:t>
            </w:r>
            <w:r w:rsidR="00DC0BB1">
              <w:rPr>
                <w:rFonts w:ascii="Calibri" w:hAnsi="Calibri"/>
              </w:rPr>
              <w:t>$18k</w:t>
            </w:r>
            <w:r w:rsidR="0087385F" w:rsidRPr="00B72CF9">
              <w:rPr>
                <w:rFonts w:ascii="Calibri" w:hAnsi="Calibri"/>
              </w:rPr>
              <w:t>)</w:t>
            </w:r>
          </w:p>
        </w:tc>
      </w:tr>
      <w:tr w:rsidR="00115890" w:rsidTr="00A60A20">
        <w:trPr>
          <w:trHeight w:val="120"/>
        </w:trPr>
        <w:tc>
          <w:tcPr>
            <w:tcW w:w="1440" w:type="dxa"/>
            <w:vMerge w:val="restart"/>
            <w:vAlign w:val="center"/>
          </w:tcPr>
          <w:p w:rsidR="00115890" w:rsidRPr="00B72CF9" w:rsidRDefault="00115890" w:rsidP="0087385F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Highly functioning governance, with </w:t>
            </w:r>
            <w:r w:rsidR="00586372" w:rsidRPr="00B72CF9">
              <w:rPr>
                <w:rFonts w:ascii="Calibri" w:hAnsi="Calibri"/>
              </w:rPr>
              <w:t xml:space="preserve">a </w:t>
            </w:r>
            <w:r w:rsidRPr="00B72CF9">
              <w:rPr>
                <w:rFonts w:ascii="Calibri" w:hAnsi="Calibri"/>
              </w:rPr>
              <w:t xml:space="preserve">strong </w:t>
            </w:r>
            <w:r w:rsidR="00586372" w:rsidRPr="00B72CF9">
              <w:rPr>
                <w:rFonts w:ascii="Calibri" w:hAnsi="Calibri"/>
              </w:rPr>
              <w:t xml:space="preserve">focus on purpose, </w:t>
            </w:r>
            <w:r w:rsidRPr="00B72CF9">
              <w:rPr>
                <w:rFonts w:ascii="Calibri" w:hAnsi="Calibri"/>
              </w:rPr>
              <w:t xml:space="preserve">values, </w:t>
            </w:r>
            <w:r w:rsidR="00586372" w:rsidRPr="00B72CF9">
              <w:rPr>
                <w:rFonts w:ascii="Calibri" w:hAnsi="Calibri"/>
              </w:rPr>
              <w:t>compliance and strategy</w:t>
            </w:r>
          </w:p>
        </w:tc>
        <w:tc>
          <w:tcPr>
            <w:tcW w:w="1710" w:type="dxa"/>
            <w:vMerge w:val="restart"/>
            <w:vAlign w:val="center"/>
          </w:tcPr>
          <w:p w:rsidR="00115890" w:rsidRPr="00B72CF9" w:rsidRDefault="00115890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Board</w:t>
            </w:r>
          </w:p>
        </w:tc>
        <w:tc>
          <w:tcPr>
            <w:tcW w:w="2970" w:type="dxa"/>
            <w:vAlign w:val="center"/>
          </w:tcPr>
          <w:p w:rsidR="00115890" w:rsidRPr="00B72CF9" w:rsidRDefault="00115890" w:rsidP="00BF27D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Highly skilled members, strong collaboration, and effective reporting from operations and from Board to stakeholders</w:t>
            </w:r>
          </w:p>
        </w:tc>
        <w:tc>
          <w:tcPr>
            <w:tcW w:w="3870" w:type="dxa"/>
            <w:vAlign w:val="center"/>
          </w:tcPr>
          <w:p w:rsidR="00115890" w:rsidRPr="00B72CF9" w:rsidRDefault="00115890" w:rsidP="00BF27D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Host member forums and A</w:t>
            </w:r>
            <w:r w:rsidR="00086A05" w:rsidRPr="00B72CF9">
              <w:rPr>
                <w:rFonts w:ascii="Calibri" w:hAnsi="Calibri"/>
              </w:rPr>
              <w:t>nnual General Meeting</w:t>
            </w:r>
            <w:r w:rsidRPr="00B72CF9">
              <w:rPr>
                <w:rFonts w:ascii="Calibri" w:hAnsi="Calibri"/>
              </w:rPr>
              <w:t xml:space="preserve">. </w:t>
            </w:r>
            <w:r w:rsidR="0087385F" w:rsidRPr="00B72CF9">
              <w:rPr>
                <w:rFonts w:ascii="Calibri" w:hAnsi="Calibri"/>
              </w:rPr>
              <w:t xml:space="preserve">Review information provided by applicants and methods of advertisement. </w:t>
            </w:r>
            <w:r w:rsidRPr="00B72CF9">
              <w:rPr>
                <w:rFonts w:ascii="Calibri" w:hAnsi="Calibri"/>
              </w:rPr>
              <w:t>Surplus applicants for vacancies.</w:t>
            </w:r>
          </w:p>
        </w:tc>
      </w:tr>
      <w:tr w:rsidR="0087385F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87385F" w:rsidRPr="00B72CF9" w:rsidRDefault="0087385F" w:rsidP="00BF27D4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87385F" w:rsidRPr="00B72CF9" w:rsidRDefault="0087385F" w:rsidP="00D91B1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87385F" w:rsidRPr="00B72CF9" w:rsidRDefault="0087385F" w:rsidP="00BF27D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Organisational performance measured and aligned with Strategic Plan</w:t>
            </w:r>
          </w:p>
        </w:tc>
        <w:tc>
          <w:tcPr>
            <w:tcW w:w="3870" w:type="dxa"/>
            <w:vAlign w:val="center"/>
          </w:tcPr>
          <w:p w:rsidR="0087385F" w:rsidRPr="00B72CF9" w:rsidRDefault="0087385F" w:rsidP="00BF27D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Regular review against Strategic Plan. Ensure clear annual implementation plans. New projects assessed against Strategic Plan</w:t>
            </w:r>
          </w:p>
        </w:tc>
      </w:tr>
      <w:tr w:rsidR="00115890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115890" w:rsidRPr="00B72CF9" w:rsidRDefault="00115890" w:rsidP="00BF27D4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115890" w:rsidRPr="00B72CF9" w:rsidRDefault="00115890" w:rsidP="00D91B1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115890" w:rsidRPr="00B72CF9" w:rsidRDefault="0087385F" w:rsidP="00BF27D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Discuss and finalise guidelines regarding the separation of governance and operations as it applies at JOY</w:t>
            </w:r>
          </w:p>
        </w:tc>
        <w:tc>
          <w:tcPr>
            <w:tcW w:w="3870" w:type="dxa"/>
            <w:vAlign w:val="center"/>
          </w:tcPr>
          <w:p w:rsidR="00115890" w:rsidRPr="00B72CF9" w:rsidRDefault="0087385F" w:rsidP="0087385F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Guidelines developed and enacted</w:t>
            </w:r>
          </w:p>
        </w:tc>
      </w:tr>
      <w:tr w:rsidR="00002A9D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002A9D" w:rsidRPr="00B72CF9" w:rsidRDefault="00002A9D" w:rsidP="008D22F6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002A9D" w:rsidRPr="00B72CF9" w:rsidRDefault="00002A9D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Finance and Audit Committee</w:t>
            </w:r>
          </w:p>
        </w:tc>
        <w:tc>
          <w:tcPr>
            <w:tcW w:w="2970" w:type="dxa"/>
            <w:vMerge w:val="restart"/>
            <w:vAlign w:val="center"/>
          </w:tcPr>
          <w:p w:rsidR="00002A9D" w:rsidRPr="00B72CF9" w:rsidRDefault="00002A9D" w:rsidP="00BF27D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Highly skilled members, strong collaboration, and effective reporting from operations and to Board</w:t>
            </w:r>
          </w:p>
        </w:tc>
        <w:tc>
          <w:tcPr>
            <w:tcW w:w="3870" w:type="dxa"/>
            <w:vAlign w:val="center"/>
          </w:tcPr>
          <w:p w:rsidR="00002A9D" w:rsidRPr="00B72CF9" w:rsidRDefault="00002A9D" w:rsidP="00A60A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Regular reviews against this Strategic Plan ‘Financial sustainability’ area. Oversee annual external audit</w:t>
            </w:r>
          </w:p>
        </w:tc>
      </w:tr>
      <w:tr w:rsidR="00002A9D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002A9D" w:rsidRPr="00B72CF9" w:rsidRDefault="00002A9D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002A9D" w:rsidRPr="00B72CF9" w:rsidRDefault="00002A9D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Programming Committee</w:t>
            </w:r>
          </w:p>
        </w:tc>
        <w:tc>
          <w:tcPr>
            <w:tcW w:w="2970" w:type="dxa"/>
            <w:vMerge/>
            <w:vAlign w:val="center"/>
          </w:tcPr>
          <w:p w:rsidR="00002A9D" w:rsidRPr="00B72CF9" w:rsidRDefault="00002A9D" w:rsidP="00D154ED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002A9D" w:rsidRPr="00B72CF9" w:rsidRDefault="00002A9D" w:rsidP="00BF27D4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Regular reviews against this Strategic Plan ‘Radio and associated media’ area. Oversee broadcasting compliance</w:t>
            </w:r>
          </w:p>
        </w:tc>
      </w:tr>
      <w:tr w:rsidR="00002A9D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002A9D" w:rsidRPr="00B72CF9" w:rsidRDefault="00002A9D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002A9D" w:rsidRPr="00B72CF9" w:rsidRDefault="00002A9D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Membership Committee</w:t>
            </w:r>
          </w:p>
        </w:tc>
        <w:tc>
          <w:tcPr>
            <w:tcW w:w="2970" w:type="dxa"/>
            <w:vMerge/>
            <w:vAlign w:val="center"/>
          </w:tcPr>
          <w:p w:rsidR="00002A9D" w:rsidRPr="00B72CF9" w:rsidRDefault="00002A9D" w:rsidP="00BF27D4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002A9D" w:rsidRPr="00B72CF9" w:rsidRDefault="00002A9D" w:rsidP="00002A9D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Regular reviews against this Strategic Plan ‘Community’ area</w:t>
            </w:r>
            <w:r>
              <w:rPr>
                <w:rFonts w:ascii="Calibri" w:hAnsi="Calibri"/>
              </w:rPr>
              <w:t>.</w:t>
            </w:r>
          </w:p>
        </w:tc>
      </w:tr>
      <w:tr w:rsidR="00002A9D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002A9D" w:rsidRPr="00B72CF9" w:rsidRDefault="00002A9D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002A9D" w:rsidRPr="00B72CF9" w:rsidRDefault="00002A9D" w:rsidP="00D91B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working group</w:t>
            </w:r>
          </w:p>
        </w:tc>
        <w:tc>
          <w:tcPr>
            <w:tcW w:w="2970" w:type="dxa"/>
            <w:vMerge/>
            <w:vAlign w:val="center"/>
          </w:tcPr>
          <w:p w:rsidR="00002A9D" w:rsidRPr="00B72CF9" w:rsidRDefault="00002A9D" w:rsidP="0075463B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vAlign w:val="center"/>
          </w:tcPr>
          <w:p w:rsidR="00002A9D" w:rsidRPr="00B72CF9" w:rsidRDefault="00002A9D" w:rsidP="00002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consultations and finalise</w:t>
            </w:r>
            <w:r w:rsidRPr="00B72CF9">
              <w:rPr>
                <w:rFonts w:ascii="Calibri" w:hAnsi="Calibri"/>
              </w:rPr>
              <w:t xml:space="preserve"> risk framework</w:t>
            </w:r>
            <w:r>
              <w:rPr>
                <w:rFonts w:ascii="Calibri" w:hAnsi="Calibri"/>
              </w:rPr>
              <w:t xml:space="preserve">. Embed </w:t>
            </w:r>
            <w:r w:rsidRPr="00B72CF9">
              <w:rPr>
                <w:rFonts w:ascii="Calibri" w:hAnsi="Calibri"/>
              </w:rPr>
              <w:t>regular reviews within appropriate Committee structure</w:t>
            </w:r>
            <w:r>
              <w:rPr>
                <w:rFonts w:ascii="Calibri" w:hAnsi="Calibri"/>
              </w:rPr>
              <w:t>. Audit and update insurance policies.</w:t>
            </w:r>
          </w:p>
        </w:tc>
      </w:tr>
      <w:tr w:rsidR="0075463B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75463B" w:rsidRPr="00B72CF9" w:rsidRDefault="0075463B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75463B" w:rsidRPr="00B72CF9" w:rsidRDefault="0075463B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Performance Committee</w:t>
            </w:r>
          </w:p>
        </w:tc>
        <w:tc>
          <w:tcPr>
            <w:tcW w:w="2970" w:type="dxa"/>
            <w:vAlign w:val="center"/>
          </w:tcPr>
          <w:p w:rsidR="0075463B" w:rsidRPr="00B72CF9" w:rsidRDefault="0075463B" w:rsidP="0075463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Robust performance and development process for General Manager</w:t>
            </w:r>
          </w:p>
        </w:tc>
        <w:tc>
          <w:tcPr>
            <w:tcW w:w="3870" w:type="dxa"/>
            <w:vAlign w:val="center"/>
          </w:tcPr>
          <w:p w:rsidR="0075463B" w:rsidRPr="00B72CF9" w:rsidRDefault="0075463B" w:rsidP="0075463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Regular reviews against this Strategic Plan ‘People’ area</w:t>
            </w:r>
          </w:p>
        </w:tc>
      </w:tr>
      <w:tr w:rsidR="0075463B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75463B" w:rsidRPr="00B72CF9" w:rsidRDefault="0075463B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75463B" w:rsidRPr="00B72CF9" w:rsidRDefault="0075463B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Infrastructure Committee</w:t>
            </w:r>
            <w:r w:rsidR="006A0CFF" w:rsidRPr="00B72CF9">
              <w:rPr>
                <w:rFonts w:ascii="Calibri" w:hAnsi="Calibri"/>
              </w:rPr>
              <w:t xml:space="preserve"> or similar</w:t>
            </w:r>
          </w:p>
        </w:tc>
        <w:tc>
          <w:tcPr>
            <w:tcW w:w="2970" w:type="dxa"/>
            <w:vAlign w:val="center"/>
          </w:tcPr>
          <w:p w:rsidR="0075463B" w:rsidRPr="00B72CF9" w:rsidRDefault="0075463B" w:rsidP="00A60A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See ‘Infrastructure’ area</w:t>
            </w:r>
          </w:p>
        </w:tc>
        <w:tc>
          <w:tcPr>
            <w:tcW w:w="3870" w:type="dxa"/>
            <w:vAlign w:val="center"/>
          </w:tcPr>
          <w:p w:rsidR="0075463B" w:rsidRPr="00B72CF9" w:rsidRDefault="0075463B" w:rsidP="0075463B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Regular reviews against this Strategic Plan ‘Infrastructure’ area</w:t>
            </w:r>
          </w:p>
        </w:tc>
      </w:tr>
      <w:tr w:rsidR="0075463B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75463B" w:rsidRPr="00B72CF9" w:rsidRDefault="0075463B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5463B" w:rsidRPr="00B72CF9" w:rsidRDefault="0075463B" w:rsidP="00D91B19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Constitutional review</w:t>
            </w:r>
            <w:r w:rsidR="005200BE" w:rsidRPr="00B72CF9">
              <w:rPr>
                <w:rFonts w:ascii="Calibri" w:hAnsi="Calibri"/>
              </w:rPr>
              <w:t xml:space="preserve"> working group</w:t>
            </w:r>
          </w:p>
        </w:tc>
        <w:tc>
          <w:tcPr>
            <w:tcW w:w="2970" w:type="dxa"/>
            <w:vAlign w:val="center"/>
          </w:tcPr>
          <w:p w:rsidR="0075463B" w:rsidRPr="00B72CF9" w:rsidRDefault="0075463B" w:rsidP="00A60A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Ensure regulatory requirements are met</w:t>
            </w:r>
          </w:p>
        </w:tc>
        <w:tc>
          <w:tcPr>
            <w:tcW w:w="3870" w:type="dxa"/>
            <w:vAlign w:val="center"/>
          </w:tcPr>
          <w:p w:rsidR="0075463B" w:rsidRPr="00B72CF9" w:rsidRDefault="0075463B" w:rsidP="00086A05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Form a working gro</w:t>
            </w:r>
            <w:r w:rsidR="00B72CF9">
              <w:rPr>
                <w:rFonts w:ascii="Calibri" w:hAnsi="Calibri"/>
              </w:rPr>
              <w:t>up, develop updates, and hold a</w:t>
            </w:r>
            <w:r w:rsidRPr="00B72CF9">
              <w:rPr>
                <w:rFonts w:ascii="Calibri" w:hAnsi="Calibri"/>
              </w:rPr>
              <w:t xml:space="preserve"> </w:t>
            </w:r>
            <w:r w:rsidR="00086A05" w:rsidRPr="00B72CF9">
              <w:rPr>
                <w:rFonts w:ascii="Calibri" w:hAnsi="Calibri"/>
              </w:rPr>
              <w:t>Special General Meeting</w:t>
            </w:r>
          </w:p>
        </w:tc>
      </w:tr>
      <w:tr w:rsidR="0075463B" w:rsidTr="00A60A20">
        <w:trPr>
          <w:trHeight w:val="120"/>
        </w:trPr>
        <w:tc>
          <w:tcPr>
            <w:tcW w:w="1440" w:type="dxa"/>
            <w:vMerge/>
            <w:vAlign w:val="center"/>
          </w:tcPr>
          <w:p w:rsidR="0075463B" w:rsidRPr="00B72CF9" w:rsidRDefault="0075463B" w:rsidP="00D91B19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vMerge/>
            <w:vAlign w:val="center"/>
          </w:tcPr>
          <w:p w:rsidR="0075463B" w:rsidRPr="00B72CF9" w:rsidRDefault="0075463B" w:rsidP="00D91B19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vAlign w:val="center"/>
          </w:tcPr>
          <w:p w:rsidR="0075463B" w:rsidRPr="00B72CF9" w:rsidRDefault="0075463B" w:rsidP="00A60A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Review Board term lengths</w:t>
            </w:r>
          </w:p>
        </w:tc>
        <w:tc>
          <w:tcPr>
            <w:tcW w:w="3870" w:type="dxa"/>
            <w:vAlign w:val="center"/>
          </w:tcPr>
          <w:p w:rsidR="0075463B" w:rsidRPr="00B72CF9" w:rsidRDefault="0075463B" w:rsidP="00A60A2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 xml:space="preserve">Form a working group, </w:t>
            </w:r>
            <w:r w:rsidR="00B72CF9">
              <w:rPr>
                <w:rFonts w:ascii="Calibri" w:hAnsi="Calibri"/>
              </w:rPr>
              <w:t>develop updates, and hold a</w:t>
            </w:r>
            <w:r w:rsidR="00086A05" w:rsidRPr="00B72CF9">
              <w:rPr>
                <w:rFonts w:ascii="Calibri" w:hAnsi="Calibri"/>
              </w:rPr>
              <w:t xml:space="preserve"> Special General Meeting</w:t>
            </w:r>
          </w:p>
        </w:tc>
      </w:tr>
      <w:tr w:rsidR="00677729" w:rsidTr="00A60A20">
        <w:trPr>
          <w:trHeight w:val="170"/>
        </w:trPr>
        <w:tc>
          <w:tcPr>
            <w:tcW w:w="1440" w:type="dxa"/>
            <w:vAlign w:val="center"/>
          </w:tcPr>
          <w:p w:rsidR="00677729" w:rsidRPr="00B72CF9" w:rsidRDefault="00677729" w:rsidP="0011589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A permanent home</w:t>
            </w:r>
          </w:p>
        </w:tc>
        <w:tc>
          <w:tcPr>
            <w:tcW w:w="1710" w:type="dxa"/>
            <w:vAlign w:val="center"/>
          </w:tcPr>
          <w:p w:rsidR="00677729" w:rsidRPr="00B72CF9" w:rsidRDefault="00677729" w:rsidP="0011589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Work towards a permanent home for JOY</w:t>
            </w:r>
          </w:p>
        </w:tc>
        <w:tc>
          <w:tcPr>
            <w:tcW w:w="2970" w:type="dxa"/>
            <w:vAlign w:val="center"/>
          </w:tcPr>
          <w:p w:rsidR="00677729" w:rsidRPr="00B72CF9" w:rsidRDefault="00677729" w:rsidP="00115890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Campaign and start to raise awareness and funds</w:t>
            </w:r>
          </w:p>
        </w:tc>
        <w:tc>
          <w:tcPr>
            <w:tcW w:w="3870" w:type="dxa"/>
            <w:vAlign w:val="center"/>
          </w:tcPr>
          <w:p w:rsidR="00677729" w:rsidRPr="00B72CF9" w:rsidRDefault="00677729" w:rsidP="00F80AA3">
            <w:pPr>
              <w:rPr>
                <w:rFonts w:ascii="Calibri" w:hAnsi="Calibri"/>
              </w:rPr>
            </w:pPr>
            <w:r w:rsidRPr="00B72CF9">
              <w:rPr>
                <w:rFonts w:ascii="Calibri" w:hAnsi="Calibri"/>
              </w:rPr>
              <w:t>Campaign researched and implemented</w:t>
            </w:r>
          </w:p>
        </w:tc>
      </w:tr>
    </w:tbl>
    <w:p w:rsidR="00D91B19" w:rsidRPr="00C20101" w:rsidRDefault="00D91B19" w:rsidP="00D91B19">
      <w:pPr>
        <w:rPr>
          <w:b/>
        </w:rPr>
      </w:pPr>
    </w:p>
    <w:p w:rsidR="00D91B19" w:rsidRPr="00D91B19" w:rsidRDefault="00D91B19" w:rsidP="00D91B19"/>
    <w:sectPr w:rsidR="00D91B19" w:rsidRPr="00D91B19" w:rsidSect="0023411A">
      <w:type w:val="continuous"/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63" w:rsidRDefault="00D17E63" w:rsidP="00B51B69">
      <w:pPr>
        <w:spacing w:after="0" w:line="240" w:lineRule="auto"/>
      </w:pPr>
      <w:r>
        <w:separator/>
      </w:r>
    </w:p>
  </w:endnote>
  <w:endnote w:type="continuationSeparator" w:id="0">
    <w:p w:rsidR="00D17E63" w:rsidRDefault="00D17E63" w:rsidP="00B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A" w:rsidRDefault="00AC0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A" w:rsidRDefault="00AC0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A" w:rsidRDefault="00AC0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63" w:rsidRDefault="00D17E63" w:rsidP="00B51B69">
      <w:pPr>
        <w:spacing w:after="0" w:line="240" w:lineRule="auto"/>
      </w:pPr>
      <w:r>
        <w:separator/>
      </w:r>
    </w:p>
  </w:footnote>
  <w:footnote w:type="continuationSeparator" w:id="0">
    <w:p w:rsidR="00D17E63" w:rsidRDefault="00D17E63" w:rsidP="00B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A" w:rsidRDefault="00AC0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A" w:rsidRDefault="00AC028A" w:rsidP="00B51B69">
    <w:pPr>
      <w:pStyle w:val="Header"/>
      <w:jc w:val="center"/>
    </w:pPr>
    <w:r>
      <w:rPr>
        <w:rFonts w:ascii="Arial" w:hAnsi="Arial" w:cs="Arial"/>
        <w:b/>
        <w:noProof/>
        <w:color w:val="000000"/>
        <w:lang w:val="en-US"/>
      </w:rPr>
      <w:drawing>
        <wp:inline distT="0" distB="0" distL="0" distR="0" wp14:anchorId="6E932FBF" wp14:editId="1F9B93B9">
          <wp:extent cx="5257800" cy="533400"/>
          <wp:effectExtent l="0" t="0" r="0" b="0"/>
          <wp:docPr id="2" name="Picture 2" descr="Letterhe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A" w:rsidRDefault="00AC0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E1"/>
    <w:multiLevelType w:val="hybridMultilevel"/>
    <w:tmpl w:val="A20AD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EBF"/>
    <w:multiLevelType w:val="hybridMultilevel"/>
    <w:tmpl w:val="5D589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622E"/>
    <w:multiLevelType w:val="hybridMultilevel"/>
    <w:tmpl w:val="73CC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04483"/>
    <w:multiLevelType w:val="hybridMultilevel"/>
    <w:tmpl w:val="20DCF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A114E"/>
    <w:multiLevelType w:val="hybridMultilevel"/>
    <w:tmpl w:val="1BDE5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F25C6"/>
    <w:multiLevelType w:val="hybridMultilevel"/>
    <w:tmpl w:val="AD38D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E38F6"/>
    <w:multiLevelType w:val="hybridMultilevel"/>
    <w:tmpl w:val="EF9C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2E72"/>
    <w:multiLevelType w:val="hybridMultilevel"/>
    <w:tmpl w:val="0A7C8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9"/>
    <w:rsid w:val="00002A9D"/>
    <w:rsid w:val="00020785"/>
    <w:rsid w:val="00020828"/>
    <w:rsid w:val="0004067C"/>
    <w:rsid w:val="00064B04"/>
    <w:rsid w:val="00065E61"/>
    <w:rsid w:val="00073B53"/>
    <w:rsid w:val="00086A05"/>
    <w:rsid w:val="000A7068"/>
    <w:rsid w:val="000C32B5"/>
    <w:rsid w:val="000D3D5D"/>
    <w:rsid w:val="000F617A"/>
    <w:rsid w:val="000F762F"/>
    <w:rsid w:val="00100930"/>
    <w:rsid w:val="00115890"/>
    <w:rsid w:val="0011629F"/>
    <w:rsid w:val="0015232E"/>
    <w:rsid w:val="00177398"/>
    <w:rsid w:val="00191244"/>
    <w:rsid w:val="001A63EA"/>
    <w:rsid w:val="001D0658"/>
    <w:rsid w:val="001F510B"/>
    <w:rsid w:val="002150CE"/>
    <w:rsid w:val="00220C45"/>
    <w:rsid w:val="0023411A"/>
    <w:rsid w:val="002465CD"/>
    <w:rsid w:val="00250D7E"/>
    <w:rsid w:val="002526F7"/>
    <w:rsid w:val="0027537B"/>
    <w:rsid w:val="00275B90"/>
    <w:rsid w:val="00285873"/>
    <w:rsid w:val="002979CF"/>
    <w:rsid w:val="002A4239"/>
    <w:rsid w:val="002A62EB"/>
    <w:rsid w:val="002B4248"/>
    <w:rsid w:val="002C7793"/>
    <w:rsid w:val="002C7FB2"/>
    <w:rsid w:val="002F018C"/>
    <w:rsid w:val="00301C07"/>
    <w:rsid w:val="00325317"/>
    <w:rsid w:val="00343BD9"/>
    <w:rsid w:val="00346013"/>
    <w:rsid w:val="0036239A"/>
    <w:rsid w:val="003926FD"/>
    <w:rsid w:val="003C1EB2"/>
    <w:rsid w:val="003C5935"/>
    <w:rsid w:val="00426BB3"/>
    <w:rsid w:val="0043457B"/>
    <w:rsid w:val="00455D9B"/>
    <w:rsid w:val="0047567D"/>
    <w:rsid w:val="0049007E"/>
    <w:rsid w:val="00494B9C"/>
    <w:rsid w:val="004D5CF3"/>
    <w:rsid w:val="004F019E"/>
    <w:rsid w:val="004F0967"/>
    <w:rsid w:val="005200BE"/>
    <w:rsid w:val="00530AE3"/>
    <w:rsid w:val="00532D58"/>
    <w:rsid w:val="00535A79"/>
    <w:rsid w:val="00554ECF"/>
    <w:rsid w:val="00581469"/>
    <w:rsid w:val="00586372"/>
    <w:rsid w:val="00587DA8"/>
    <w:rsid w:val="0059796A"/>
    <w:rsid w:val="005A55E2"/>
    <w:rsid w:val="005C37CC"/>
    <w:rsid w:val="005F06AD"/>
    <w:rsid w:val="00630D4C"/>
    <w:rsid w:val="00642F23"/>
    <w:rsid w:val="006441EA"/>
    <w:rsid w:val="00655AD5"/>
    <w:rsid w:val="00677729"/>
    <w:rsid w:val="006A04E9"/>
    <w:rsid w:val="006A0CFF"/>
    <w:rsid w:val="006C2A1A"/>
    <w:rsid w:val="006D22E1"/>
    <w:rsid w:val="006D5C62"/>
    <w:rsid w:val="006F39F7"/>
    <w:rsid w:val="007039B5"/>
    <w:rsid w:val="00711E6F"/>
    <w:rsid w:val="0075463B"/>
    <w:rsid w:val="00761FD3"/>
    <w:rsid w:val="0078269F"/>
    <w:rsid w:val="00795536"/>
    <w:rsid w:val="007A4063"/>
    <w:rsid w:val="007A420E"/>
    <w:rsid w:val="007B3CD3"/>
    <w:rsid w:val="007D6B0A"/>
    <w:rsid w:val="007E78C2"/>
    <w:rsid w:val="00811695"/>
    <w:rsid w:val="00834579"/>
    <w:rsid w:val="00834CA6"/>
    <w:rsid w:val="00850A23"/>
    <w:rsid w:val="00861FAA"/>
    <w:rsid w:val="0087385F"/>
    <w:rsid w:val="00880F64"/>
    <w:rsid w:val="008A444D"/>
    <w:rsid w:val="008B4ECA"/>
    <w:rsid w:val="008D22F6"/>
    <w:rsid w:val="008D2F5E"/>
    <w:rsid w:val="008D51E6"/>
    <w:rsid w:val="008D5920"/>
    <w:rsid w:val="00910001"/>
    <w:rsid w:val="00915B2D"/>
    <w:rsid w:val="0092533B"/>
    <w:rsid w:val="00930334"/>
    <w:rsid w:val="0094586A"/>
    <w:rsid w:val="00961A32"/>
    <w:rsid w:val="009717FB"/>
    <w:rsid w:val="00972714"/>
    <w:rsid w:val="00976FBA"/>
    <w:rsid w:val="00987B08"/>
    <w:rsid w:val="00994D05"/>
    <w:rsid w:val="009A2FF5"/>
    <w:rsid w:val="009B59B9"/>
    <w:rsid w:val="009C498D"/>
    <w:rsid w:val="009D2AB7"/>
    <w:rsid w:val="009D609C"/>
    <w:rsid w:val="009F6240"/>
    <w:rsid w:val="00A149EE"/>
    <w:rsid w:val="00A14E3C"/>
    <w:rsid w:val="00A22229"/>
    <w:rsid w:val="00A25F20"/>
    <w:rsid w:val="00A567E3"/>
    <w:rsid w:val="00A60A20"/>
    <w:rsid w:val="00AA611C"/>
    <w:rsid w:val="00AA6B70"/>
    <w:rsid w:val="00AB3E57"/>
    <w:rsid w:val="00AC028A"/>
    <w:rsid w:val="00AC67C2"/>
    <w:rsid w:val="00AD2138"/>
    <w:rsid w:val="00AE20D5"/>
    <w:rsid w:val="00B04AF0"/>
    <w:rsid w:val="00B51B69"/>
    <w:rsid w:val="00B70BE7"/>
    <w:rsid w:val="00B72CF9"/>
    <w:rsid w:val="00B9368B"/>
    <w:rsid w:val="00BB6F74"/>
    <w:rsid w:val="00BD30C3"/>
    <w:rsid w:val="00BE7CAD"/>
    <w:rsid w:val="00BE7DD5"/>
    <w:rsid w:val="00BE7E3E"/>
    <w:rsid w:val="00BF27D4"/>
    <w:rsid w:val="00C0612A"/>
    <w:rsid w:val="00C06888"/>
    <w:rsid w:val="00C20101"/>
    <w:rsid w:val="00C31B5B"/>
    <w:rsid w:val="00C33C2D"/>
    <w:rsid w:val="00C346B4"/>
    <w:rsid w:val="00C40447"/>
    <w:rsid w:val="00C5326F"/>
    <w:rsid w:val="00C64C4D"/>
    <w:rsid w:val="00CB5391"/>
    <w:rsid w:val="00CC4C48"/>
    <w:rsid w:val="00CD39D9"/>
    <w:rsid w:val="00CF772E"/>
    <w:rsid w:val="00D154ED"/>
    <w:rsid w:val="00D17E63"/>
    <w:rsid w:val="00D35E21"/>
    <w:rsid w:val="00D37121"/>
    <w:rsid w:val="00D66AC9"/>
    <w:rsid w:val="00D91B19"/>
    <w:rsid w:val="00DC0BB1"/>
    <w:rsid w:val="00E11874"/>
    <w:rsid w:val="00E63F22"/>
    <w:rsid w:val="00E7415D"/>
    <w:rsid w:val="00ED69EC"/>
    <w:rsid w:val="00F05C0C"/>
    <w:rsid w:val="00F24BE8"/>
    <w:rsid w:val="00F46CCF"/>
    <w:rsid w:val="00F66423"/>
    <w:rsid w:val="00F71335"/>
    <w:rsid w:val="00F73DEF"/>
    <w:rsid w:val="00F80AA3"/>
    <w:rsid w:val="00F81F3F"/>
    <w:rsid w:val="00F83B06"/>
    <w:rsid w:val="00F84A45"/>
    <w:rsid w:val="00F87803"/>
    <w:rsid w:val="00FC684F"/>
    <w:rsid w:val="00FE2455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E8"/>
    <w:pPr>
      <w:outlineLvl w:val="0"/>
    </w:pPr>
    <w:rPr>
      <w:b/>
      <w:color w:val="D60D8C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24BE8"/>
    <w:pPr>
      <w:outlineLvl w:val="1"/>
    </w:pPr>
    <w:rPr>
      <w:color w:val="005BAB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4BE8"/>
    <w:pPr>
      <w:outlineLvl w:val="2"/>
    </w:pPr>
    <w:rPr>
      <w:color w:val="D60D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69"/>
  </w:style>
  <w:style w:type="paragraph" w:styleId="Footer">
    <w:name w:val="footer"/>
    <w:basedOn w:val="Normal"/>
    <w:link w:val="FooterChar"/>
    <w:uiPriority w:val="99"/>
    <w:unhideWhenUsed/>
    <w:rsid w:val="00B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69"/>
  </w:style>
  <w:style w:type="paragraph" w:styleId="BalloonText">
    <w:name w:val="Balloon Text"/>
    <w:basedOn w:val="Normal"/>
    <w:link w:val="BalloonTextChar"/>
    <w:uiPriority w:val="99"/>
    <w:semiHidden/>
    <w:unhideWhenUsed/>
    <w:rsid w:val="00B5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4BE8"/>
    <w:rPr>
      <w:b/>
      <w:color w:val="D60D8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4BE8"/>
    <w:rPr>
      <w:b/>
      <w:color w:val="005BAB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4D5C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CF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40"/>
    <w:pPr>
      <w:pBdr>
        <w:bottom w:val="single" w:sz="4" w:space="4" w:color="D60D8C"/>
      </w:pBdr>
      <w:spacing w:before="200" w:after="280"/>
      <w:ind w:left="936" w:right="936"/>
    </w:pPr>
    <w:rPr>
      <w:b/>
      <w:bCs/>
      <w:i/>
      <w:iCs/>
      <w:color w:val="D60D8C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40"/>
    <w:rPr>
      <w:b/>
      <w:bCs/>
      <w:i/>
      <w:iCs/>
      <w:color w:val="D60D8C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7C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24BE8"/>
    <w:rPr>
      <w:b/>
      <w:color w:val="D60D8C"/>
      <w:sz w:val="24"/>
    </w:rPr>
  </w:style>
  <w:style w:type="table" w:styleId="TableGrid">
    <w:name w:val="Table Grid"/>
    <w:basedOn w:val="TableNormal"/>
    <w:uiPriority w:val="59"/>
    <w:rsid w:val="008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E8"/>
    <w:pPr>
      <w:outlineLvl w:val="0"/>
    </w:pPr>
    <w:rPr>
      <w:b/>
      <w:color w:val="D60D8C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24BE8"/>
    <w:pPr>
      <w:outlineLvl w:val="1"/>
    </w:pPr>
    <w:rPr>
      <w:color w:val="005BAB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4BE8"/>
    <w:pPr>
      <w:outlineLvl w:val="2"/>
    </w:pPr>
    <w:rPr>
      <w:color w:val="D60D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69"/>
  </w:style>
  <w:style w:type="paragraph" w:styleId="Footer">
    <w:name w:val="footer"/>
    <w:basedOn w:val="Normal"/>
    <w:link w:val="FooterChar"/>
    <w:uiPriority w:val="99"/>
    <w:unhideWhenUsed/>
    <w:rsid w:val="00B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69"/>
  </w:style>
  <w:style w:type="paragraph" w:styleId="BalloonText">
    <w:name w:val="Balloon Text"/>
    <w:basedOn w:val="Normal"/>
    <w:link w:val="BalloonTextChar"/>
    <w:uiPriority w:val="99"/>
    <w:semiHidden/>
    <w:unhideWhenUsed/>
    <w:rsid w:val="00B5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4BE8"/>
    <w:rPr>
      <w:b/>
      <w:color w:val="D60D8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4BE8"/>
    <w:rPr>
      <w:b/>
      <w:color w:val="005BAB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4D5C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CF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40"/>
    <w:pPr>
      <w:pBdr>
        <w:bottom w:val="single" w:sz="4" w:space="4" w:color="D60D8C"/>
      </w:pBdr>
      <w:spacing w:before="200" w:after="280"/>
      <w:ind w:left="936" w:right="936"/>
    </w:pPr>
    <w:rPr>
      <w:b/>
      <w:bCs/>
      <w:i/>
      <w:iCs/>
      <w:color w:val="D60D8C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40"/>
    <w:rPr>
      <w:b/>
      <w:bCs/>
      <w:i/>
      <w:iCs/>
      <w:color w:val="D60D8C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7C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24BE8"/>
    <w:rPr>
      <w:b/>
      <w:color w:val="D60D8C"/>
      <w:sz w:val="24"/>
    </w:rPr>
  </w:style>
  <w:style w:type="table" w:styleId="TableGrid">
    <w:name w:val="Table Grid"/>
    <w:basedOn w:val="TableNormal"/>
    <w:uiPriority w:val="59"/>
    <w:rsid w:val="008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C17B-BD0D-4464-A1E0-B55F539B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3</cp:revision>
  <cp:lastPrinted>2014-12-13T11:01:00Z</cp:lastPrinted>
  <dcterms:created xsi:type="dcterms:W3CDTF">2015-02-24T11:26:00Z</dcterms:created>
  <dcterms:modified xsi:type="dcterms:W3CDTF">2015-02-24T11:27:00Z</dcterms:modified>
</cp:coreProperties>
</file>